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00" w:lineRule="auto"/>
        <w:ind w:left="0"/>
        <w:jc w:val="center"/>
        <w:rPr>
          <w:rFonts w:ascii="华文中宋" w:hAnsi="华文中宋" w:eastAsia="华文中宋"/>
          <w:sz w:val="32"/>
          <w:szCs w:val="32"/>
        </w:rPr>
      </w:pPr>
      <w:r>
        <w:rPr>
          <w:rFonts w:hint="eastAsia" w:ascii="华文中宋" w:hAnsi="华文中宋" w:eastAsia="华文中宋"/>
          <w:sz w:val="32"/>
          <w:szCs w:val="32"/>
          <w:u w:val="single"/>
        </w:rPr>
        <w:t>交通运输双学士学位</w:t>
      </w:r>
      <w:r>
        <w:rPr>
          <w:rFonts w:hint="eastAsia" w:ascii="华文中宋" w:hAnsi="华文中宋" w:eastAsia="华文中宋"/>
          <w:sz w:val="32"/>
          <w:szCs w:val="32"/>
        </w:rPr>
        <w:t>专业培养方案</w:t>
      </w:r>
    </w:p>
    <w:p>
      <w:pPr>
        <w:pStyle w:val="3"/>
        <w:spacing w:line="300" w:lineRule="auto"/>
        <w:ind w:left="561"/>
        <w:outlineLvl w:val="0"/>
        <w:rPr>
          <w:rFonts w:ascii="黑体" w:eastAsia="黑体"/>
          <w:sz w:val="24"/>
        </w:rPr>
      </w:pPr>
      <w:r>
        <w:rPr>
          <w:rFonts w:hint="eastAsia" w:ascii="黑体" w:eastAsia="黑体"/>
          <w:sz w:val="24"/>
        </w:rPr>
        <w:t>一、学制及总</w:t>
      </w:r>
      <w:r>
        <w:rPr>
          <w:rFonts w:ascii="黑体" w:eastAsia="黑体"/>
          <w:sz w:val="24"/>
        </w:rPr>
        <w:t>学分要求</w:t>
      </w:r>
    </w:p>
    <w:p>
      <w:pPr>
        <w:pStyle w:val="3"/>
        <w:spacing w:line="300" w:lineRule="auto"/>
        <w:ind w:left="0" w:firstLine="560" w:firstLineChars="267"/>
        <w:rPr>
          <w:rFonts w:ascii="宋体" w:hAnsi="宋体"/>
          <w:i/>
          <w:szCs w:val="21"/>
        </w:rPr>
      </w:pPr>
      <w:r>
        <w:rPr>
          <w:rFonts w:hint="eastAsia" w:ascii="宋体" w:hAnsi="宋体"/>
          <w:szCs w:val="21"/>
        </w:rPr>
        <w:t>1</w:t>
      </w:r>
      <w:r>
        <w:rPr>
          <w:rFonts w:ascii="宋体" w:hAnsi="宋体"/>
          <w:szCs w:val="21"/>
        </w:rPr>
        <w:t>.</w:t>
      </w:r>
      <w:r>
        <w:rPr>
          <w:rFonts w:hint="eastAsia" w:ascii="宋体" w:hAnsi="宋体"/>
          <w:szCs w:val="21"/>
        </w:rPr>
        <w:t>标准学制：4年；学习年限：3-6年</w:t>
      </w:r>
    </w:p>
    <w:p>
      <w:pPr>
        <w:pStyle w:val="3"/>
        <w:spacing w:line="300" w:lineRule="auto"/>
        <w:ind w:left="0" w:firstLine="560" w:firstLineChars="267"/>
        <w:rPr>
          <w:rFonts w:ascii="宋体" w:hAnsi="宋体"/>
          <w:szCs w:val="21"/>
        </w:rPr>
      </w:pPr>
      <w:r>
        <w:rPr>
          <w:rFonts w:hint="eastAsia" w:ascii="宋体" w:hAnsi="宋体"/>
          <w:szCs w:val="21"/>
        </w:rPr>
        <w:t>2</w:t>
      </w:r>
      <w:r>
        <w:rPr>
          <w:rFonts w:ascii="宋体" w:hAnsi="宋体"/>
          <w:szCs w:val="21"/>
        </w:rPr>
        <w:t>.总</w:t>
      </w:r>
      <w:r>
        <w:rPr>
          <w:rFonts w:hint="eastAsia" w:ascii="宋体" w:hAnsi="宋体"/>
          <w:szCs w:val="21"/>
        </w:rPr>
        <w:t>学分要求</w:t>
      </w:r>
      <w:r>
        <w:rPr>
          <w:rFonts w:ascii="宋体" w:hAnsi="宋体"/>
          <w:szCs w:val="21"/>
        </w:rPr>
        <w:t>：186.5</w:t>
      </w:r>
      <w:r>
        <w:rPr>
          <w:rFonts w:hint="eastAsia" w:ascii="宋体" w:hAnsi="宋体"/>
          <w:szCs w:val="21"/>
        </w:rPr>
        <w:t>学分</w:t>
      </w:r>
    </w:p>
    <w:p>
      <w:pPr>
        <w:pStyle w:val="3"/>
        <w:spacing w:line="300" w:lineRule="auto"/>
        <w:ind w:left="561"/>
        <w:outlineLvl w:val="0"/>
        <w:rPr>
          <w:rFonts w:ascii="黑体" w:eastAsia="黑体"/>
          <w:sz w:val="24"/>
        </w:rPr>
      </w:pPr>
      <w:r>
        <w:rPr>
          <w:rFonts w:hint="eastAsia" w:ascii="黑体" w:eastAsia="黑体"/>
          <w:sz w:val="24"/>
        </w:rPr>
        <w:t>二、授予学位</w:t>
      </w:r>
    </w:p>
    <w:p>
      <w:pPr>
        <w:pStyle w:val="3"/>
        <w:spacing w:line="300" w:lineRule="auto"/>
        <w:ind w:left="0" w:firstLine="560" w:firstLineChars="267"/>
        <w:rPr>
          <w:rFonts w:ascii="宋体" w:hAnsi="宋体"/>
          <w:szCs w:val="21"/>
        </w:rPr>
      </w:pPr>
      <w:r>
        <w:rPr>
          <w:rFonts w:hint="eastAsia" w:ascii="宋体" w:hAnsi="宋体"/>
          <w:szCs w:val="21"/>
        </w:rPr>
        <w:t>工学+理学学士学位</w:t>
      </w:r>
    </w:p>
    <w:p>
      <w:pPr>
        <w:pStyle w:val="3"/>
        <w:spacing w:line="300" w:lineRule="auto"/>
        <w:ind w:left="561"/>
        <w:outlineLvl w:val="0"/>
        <w:rPr>
          <w:rFonts w:ascii="黑体" w:eastAsia="黑体"/>
          <w:sz w:val="24"/>
        </w:rPr>
      </w:pPr>
      <w:r>
        <w:rPr>
          <w:rFonts w:hint="eastAsia" w:ascii="黑体" w:eastAsia="黑体"/>
          <w:sz w:val="24"/>
        </w:rPr>
        <w:t>三、培养目标</w:t>
      </w:r>
    </w:p>
    <w:p>
      <w:pPr>
        <w:pStyle w:val="3"/>
        <w:spacing w:line="300" w:lineRule="auto"/>
        <w:ind w:left="0" w:firstLine="560" w:firstLineChars="267"/>
        <w:rPr>
          <w:rFonts w:ascii="宋体" w:hAnsi="宋体"/>
          <w:szCs w:val="21"/>
        </w:rPr>
      </w:pPr>
      <w:r>
        <w:rPr>
          <w:rFonts w:ascii="宋体" w:hAnsi="宋体"/>
          <w:szCs w:val="21"/>
        </w:rPr>
        <w:t>本专业培养</w:t>
      </w:r>
      <w:r>
        <w:rPr>
          <w:rFonts w:hint="eastAsia" w:ascii="宋体" w:hAnsi="宋体"/>
          <w:szCs w:val="21"/>
        </w:rPr>
        <w:t>具有社会主义核心价值观，适应社会经济和交通运输工程领域发展需求，具备扎实的数学、自然科学和工程基础，必要的土木工程、信息与控制技术、经济与管理等专业基础知识，系统的交通运输专业知识和能力，良好的科学文化素养和创新意识，健全人格和健康身心，较高的社会责任感和职业道德素质，较强的沟通能力、文化包容能力、团队合作和终身学习能力，以及交通运输专门知识与技能，能够从事专业领域科学研究、规划设计和运营管理的专业技术人才。毕业后应具有较强的学习能力和团队合作精神，扎实的理论知识和工程基础，熟悉现代专业技术工具，掌握工程实践在社会、健康、安全、文化、法律、环境等方面的分析评价方法，能够从事交通运输专业领域研究、规划、设计、运营和技术管理工作的具有国际化视野，知识、能力、素质协调发展的专业技术人才。毕业后5年左右毕业生成为社会与本专业领域内预期工作岗位上的高素质骨干人才，达到工程师执业水平。</w:t>
      </w:r>
    </w:p>
    <w:p>
      <w:pPr>
        <w:pStyle w:val="3"/>
        <w:spacing w:line="300" w:lineRule="auto"/>
        <w:ind w:left="561"/>
        <w:outlineLvl w:val="0"/>
        <w:rPr>
          <w:rFonts w:ascii="黑体" w:eastAsia="黑体"/>
          <w:sz w:val="24"/>
        </w:rPr>
      </w:pPr>
      <w:r>
        <w:rPr>
          <w:rFonts w:hint="eastAsia" w:ascii="黑体" w:eastAsia="黑体"/>
          <w:sz w:val="24"/>
        </w:rPr>
        <w:t>四、毕业要求及</w:t>
      </w:r>
      <w:r>
        <w:rPr>
          <w:rFonts w:ascii="黑体" w:eastAsia="黑体"/>
          <w:sz w:val="24"/>
        </w:rPr>
        <w:t>指标点分解</w:t>
      </w:r>
    </w:p>
    <w:p>
      <w:pPr>
        <w:spacing w:line="360" w:lineRule="auto"/>
        <w:rPr>
          <w:rFonts w:ascii="Calibri" w:hAnsi="Calibri"/>
          <w:szCs w:val="22"/>
        </w:rPr>
      </w:pPr>
      <w:r>
        <w:rPr>
          <w:rFonts w:ascii="Calibri" w:hAnsi="Calibri"/>
          <w:szCs w:val="22"/>
        </w:rPr>
        <w:t>1</w:t>
      </w:r>
      <w:r>
        <w:rPr>
          <w:rFonts w:hint="eastAsia" w:ascii="Calibri" w:hAnsi="Calibri"/>
          <w:szCs w:val="22"/>
        </w:rPr>
        <w:t>.品德修养：理解并掌握科学的世界观和方法论，具有良好的思想品德和社会公德，具有家国情怀和社会责任感，能够践行社会主义核心价值观。</w:t>
      </w:r>
    </w:p>
    <w:p>
      <w:pPr>
        <w:spacing w:line="360" w:lineRule="auto"/>
        <w:ind w:firstLine="411" w:firstLineChars="196"/>
        <w:rPr>
          <w:szCs w:val="22"/>
        </w:rPr>
      </w:pPr>
      <w:r>
        <w:rPr>
          <w:rFonts w:hint="eastAsia"/>
          <w:szCs w:val="22"/>
        </w:rPr>
        <w:t>2</w:t>
      </w:r>
      <w:r>
        <w:rPr>
          <w:szCs w:val="22"/>
        </w:rPr>
        <w:t>.工程知识：能够将数学、自然科学、工程基础和专业知识用于解决交通</w:t>
      </w:r>
      <w:r>
        <w:rPr>
          <w:rFonts w:hint="eastAsia"/>
          <w:szCs w:val="22"/>
        </w:rPr>
        <w:t>运输</w:t>
      </w:r>
      <w:r>
        <w:rPr>
          <w:szCs w:val="22"/>
        </w:rPr>
        <w:t>领域复杂工程问题。</w:t>
      </w:r>
    </w:p>
    <w:p>
      <w:pPr>
        <w:spacing w:line="360" w:lineRule="auto"/>
        <w:ind w:firstLine="411" w:firstLineChars="196"/>
        <w:rPr>
          <w:szCs w:val="22"/>
        </w:rPr>
      </w:pPr>
      <w:r>
        <w:rPr>
          <w:rFonts w:hint="eastAsia"/>
          <w:szCs w:val="22"/>
        </w:rPr>
        <w:t>3</w:t>
      </w:r>
      <w:r>
        <w:rPr>
          <w:szCs w:val="22"/>
        </w:rPr>
        <w:t>.问题分析：能够应用数学、自然科学和工程科学的基本原理，识别、表达、并通过文献研究分析复杂工程问题，以获得有效结论。</w:t>
      </w:r>
    </w:p>
    <w:p>
      <w:pPr>
        <w:spacing w:line="360" w:lineRule="auto"/>
        <w:ind w:firstLine="411" w:firstLineChars="196"/>
        <w:rPr>
          <w:szCs w:val="22"/>
        </w:rPr>
      </w:pPr>
      <w:r>
        <w:rPr>
          <w:rFonts w:hint="eastAsia"/>
          <w:szCs w:val="22"/>
        </w:rPr>
        <w:t>4</w:t>
      </w:r>
      <w:r>
        <w:rPr>
          <w:szCs w:val="22"/>
        </w:rPr>
        <w:t>.设计/开发解决方案：能够设计针对交通</w:t>
      </w:r>
      <w:r>
        <w:rPr>
          <w:rFonts w:hint="eastAsia"/>
          <w:szCs w:val="22"/>
        </w:rPr>
        <w:t>运输</w:t>
      </w:r>
      <w:r>
        <w:rPr>
          <w:szCs w:val="22"/>
        </w:rPr>
        <w:t>领域复杂工程问题的解决方案，设计满足特定需求的系统、交通基础设施和交通</w:t>
      </w:r>
      <w:r>
        <w:rPr>
          <w:rFonts w:hint="eastAsia"/>
          <w:szCs w:val="22"/>
        </w:rPr>
        <w:t>运输</w:t>
      </w:r>
      <w:r>
        <w:rPr>
          <w:szCs w:val="22"/>
        </w:rPr>
        <w:t>组织方案，并能够在设计环节中体现创新意识，考虑社会、健康、安全、法律、文化以及环境等因素。</w:t>
      </w:r>
    </w:p>
    <w:p>
      <w:pPr>
        <w:spacing w:line="360" w:lineRule="auto"/>
        <w:ind w:firstLine="411" w:firstLineChars="196"/>
        <w:rPr>
          <w:szCs w:val="22"/>
        </w:rPr>
      </w:pPr>
      <w:r>
        <w:rPr>
          <w:rFonts w:hint="eastAsia"/>
          <w:szCs w:val="22"/>
        </w:rPr>
        <w:t>5</w:t>
      </w:r>
      <w:r>
        <w:rPr>
          <w:szCs w:val="22"/>
        </w:rPr>
        <w:t>.研究：能够基于科学原理并采用科学方法对交通</w:t>
      </w:r>
      <w:r>
        <w:rPr>
          <w:rFonts w:hint="eastAsia"/>
          <w:szCs w:val="22"/>
        </w:rPr>
        <w:t>运输</w:t>
      </w:r>
      <w:r>
        <w:rPr>
          <w:szCs w:val="22"/>
        </w:rPr>
        <w:t>复杂工程问题进行研究，包括设计实验、分析与解释数据、并通过信息综合得到合理有效的结论。</w:t>
      </w:r>
    </w:p>
    <w:p>
      <w:pPr>
        <w:spacing w:line="360" w:lineRule="auto"/>
        <w:ind w:firstLine="411" w:firstLineChars="196"/>
        <w:rPr>
          <w:szCs w:val="22"/>
        </w:rPr>
      </w:pPr>
      <w:r>
        <w:rPr>
          <w:rFonts w:hint="eastAsia"/>
          <w:szCs w:val="22"/>
        </w:rPr>
        <w:t>6</w:t>
      </w:r>
      <w:r>
        <w:rPr>
          <w:szCs w:val="22"/>
        </w:rPr>
        <w:t>.使用现代工具：能够针对复杂工程问题，开发、选择与使用恰当的技术、资源、现代工程工具和信息技术工具，包括对复杂工程问题的预测与模拟，并能够理解其局限性。</w:t>
      </w:r>
    </w:p>
    <w:p>
      <w:pPr>
        <w:spacing w:line="360" w:lineRule="auto"/>
        <w:ind w:firstLine="411" w:firstLineChars="196"/>
        <w:rPr>
          <w:szCs w:val="22"/>
        </w:rPr>
      </w:pPr>
      <w:r>
        <w:rPr>
          <w:rFonts w:hint="eastAsia"/>
          <w:szCs w:val="22"/>
        </w:rPr>
        <w:t>7</w:t>
      </w:r>
      <w:r>
        <w:rPr>
          <w:szCs w:val="22"/>
        </w:rPr>
        <w:t>.工程与社会：能够基于工程相关背景知识进行合理分析，评价专业工程实践和复杂工程问题解决方案对社会、健康、安全、法律以及文化的影响，并理解应承担的责任。</w:t>
      </w:r>
    </w:p>
    <w:p>
      <w:pPr>
        <w:spacing w:line="360" w:lineRule="auto"/>
        <w:ind w:firstLine="411" w:firstLineChars="196"/>
        <w:rPr>
          <w:szCs w:val="22"/>
        </w:rPr>
      </w:pPr>
      <w:r>
        <w:rPr>
          <w:rFonts w:hint="eastAsia"/>
          <w:szCs w:val="22"/>
        </w:rPr>
        <w:t>8</w:t>
      </w:r>
      <w:r>
        <w:rPr>
          <w:szCs w:val="22"/>
        </w:rPr>
        <w:t>.环境和可持续发展：能够理解和评价针对复杂工程问题的工程实践对环境、社会可持续发展的影响。</w:t>
      </w:r>
    </w:p>
    <w:p>
      <w:pPr>
        <w:spacing w:line="360" w:lineRule="auto"/>
        <w:ind w:firstLine="411" w:firstLineChars="196"/>
        <w:rPr>
          <w:szCs w:val="22"/>
        </w:rPr>
      </w:pPr>
      <w:r>
        <w:rPr>
          <w:rFonts w:hint="eastAsia"/>
          <w:szCs w:val="22"/>
        </w:rPr>
        <w:t>9</w:t>
      </w:r>
      <w:r>
        <w:rPr>
          <w:szCs w:val="22"/>
        </w:rPr>
        <w:t>.职业规范：具有人文社会科学素养、社会责任感，能够在工程实践中理解并遵守工程职业道德和规范，履行责任。</w:t>
      </w:r>
    </w:p>
    <w:p>
      <w:pPr>
        <w:spacing w:line="360" w:lineRule="auto"/>
        <w:ind w:firstLine="411" w:firstLineChars="196"/>
        <w:rPr>
          <w:szCs w:val="22"/>
        </w:rPr>
      </w:pPr>
      <w:r>
        <w:rPr>
          <w:rFonts w:hint="eastAsia"/>
          <w:szCs w:val="22"/>
        </w:rPr>
        <w:t>10</w:t>
      </w:r>
      <w:r>
        <w:rPr>
          <w:szCs w:val="22"/>
        </w:rPr>
        <w:t>.个人和团队：能够在多学科背景下的团队中承担个体、团队成员以及负责人的角色。</w:t>
      </w:r>
    </w:p>
    <w:p>
      <w:pPr>
        <w:spacing w:line="360" w:lineRule="auto"/>
        <w:ind w:firstLine="411" w:firstLineChars="196"/>
        <w:rPr>
          <w:szCs w:val="22"/>
        </w:rPr>
      </w:pPr>
      <w:r>
        <w:rPr>
          <w:szCs w:val="22"/>
        </w:rPr>
        <w:t>1</w:t>
      </w:r>
      <w:r>
        <w:rPr>
          <w:rFonts w:hint="eastAsia"/>
          <w:szCs w:val="22"/>
        </w:rPr>
        <w:t>1</w:t>
      </w:r>
      <w:r>
        <w:rPr>
          <w:szCs w:val="22"/>
        </w:rPr>
        <w:t>.沟通：能够就复杂工程问题与业界同行及社会公众进行有效沟通和交流，包括撰写报告和设计文稿、陈述发言、清晰表达或回应指令。并具备一定的国际视野，能够在跨文化背景下进行沟通和交流。</w:t>
      </w:r>
    </w:p>
    <w:p>
      <w:pPr>
        <w:spacing w:line="360" w:lineRule="auto"/>
        <w:ind w:firstLine="411" w:firstLineChars="196"/>
        <w:rPr>
          <w:szCs w:val="22"/>
        </w:rPr>
      </w:pPr>
      <w:r>
        <w:rPr>
          <w:szCs w:val="22"/>
        </w:rPr>
        <w:t>1</w:t>
      </w:r>
      <w:r>
        <w:rPr>
          <w:rFonts w:hint="eastAsia"/>
          <w:szCs w:val="22"/>
        </w:rPr>
        <w:t>2</w:t>
      </w:r>
      <w:r>
        <w:rPr>
          <w:szCs w:val="22"/>
        </w:rPr>
        <w:t>.项目管理：理解并掌握工程管理原理与经济决策方法，并能在多学科环境中应用。</w:t>
      </w:r>
    </w:p>
    <w:p>
      <w:pPr>
        <w:pStyle w:val="3"/>
        <w:spacing w:line="300" w:lineRule="auto"/>
        <w:ind w:left="0" w:firstLine="420" w:firstLineChars="200"/>
        <w:rPr>
          <w:szCs w:val="22"/>
        </w:rPr>
      </w:pPr>
      <w:r>
        <w:rPr>
          <w:szCs w:val="22"/>
        </w:rPr>
        <w:t>1</w:t>
      </w:r>
      <w:r>
        <w:rPr>
          <w:rFonts w:hint="eastAsia"/>
          <w:szCs w:val="22"/>
        </w:rPr>
        <w:t>3</w:t>
      </w:r>
      <w:r>
        <w:rPr>
          <w:szCs w:val="22"/>
        </w:rPr>
        <w:t>.终身学习：具有自主学习和终身学习的意识，有不断学习和适应发展的能力。</w:t>
      </w:r>
    </w:p>
    <w:p>
      <w:pPr>
        <w:pStyle w:val="3"/>
        <w:spacing w:line="300" w:lineRule="auto"/>
        <w:ind w:left="0" w:firstLine="480" w:firstLineChars="200"/>
        <w:rPr>
          <w:rFonts w:ascii="黑体" w:eastAsia="黑体"/>
          <w:sz w:val="24"/>
        </w:rPr>
      </w:pPr>
      <w:r>
        <w:rPr>
          <w:rFonts w:hint="eastAsia" w:ascii="黑体" w:eastAsia="黑体"/>
          <w:sz w:val="24"/>
        </w:rPr>
        <w:t>五</w:t>
      </w:r>
      <w:r>
        <w:rPr>
          <w:rFonts w:ascii="黑体" w:eastAsia="黑体"/>
          <w:sz w:val="24"/>
        </w:rPr>
        <w:t>、</w:t>
      </w:r>
      <w:r>
        <w:rPr>
          <w:rFonts w:hint="eastAsia" w:ascii="黑体" w:eastAsia="黑体"/>
          <w:sz w:val="24"/>
        </w:rPr>
        <w:t>课程体系框架</w:t>
      </w:r>
    </w:p>
    <w:p>
      <w:pPr>
        <w:pStyle w:val="3"/>
        <w:spacing w:line="300" w:lineRule="auto"/>
        <w:ind w:left="0" w:firstLine="480" w:firstLineChars="200"/>
        <w:rPr>
          <w:rFonts w:ascii="黑体" w:eastAsia="黑体"/>
          <w:sz w:val="24"/>
        </w:rPr>
      </w:pPr>
      <w:r>
        <w:rPr>
          <w:rFonts w:hint="eastAsia" w:ascii="黑体" w:eastAsia="黑体"/>
          <w:sz w:val="24"/>
        </w:rPr>
        <w:t>（一）课程体系框架及学分要求</w:t>
      </w:r>
    </w:p>
    <w:p>
      <w:pPr>
        <w:spacing w:after="120" w:line="300" w:lineRule="auto"/>
        <w:ind w:firstLine="0"/>
        <w:jc w:val="center"/>
        <w:rPr>
          <w:rFonts w:ascii="宋体" w:hAnsi="宋体"/>
          <w:b/>
          <w:szCs w:val="21"/>
        </w:rPr>
      </w:pPr>
      <w:r>
        <w:rPr>
          <w:rFonts w:hint="eastAsia" w:ascii="宋体" w:hAnsi="宋体"/>
          <w:b/>
          <w:szCs w:val="21"/>
        </w:rPr>
        <w:t>表</w:t>
      </w:r>
      <w:r>
        <w:rPr>
          <w:rFonts w:ascii="宋体" w:hAnsi="宋体"/>
          <w:b/>
          <w:szCs w:val="21"/>
        </w:rPr>
        <w:t>1</w:t>
      </w:r>
      <w:r>
        <w:rPr>
          <w:rFonts w:hint="eastAsia" w:ascii="宋体" w:hAnsi="宋体"/>
          <w:b/>
          <w:szCs w:val="21"/>
        </w:rPr>
        <w:t>课程体系及学分学时对应关系</w:t>
      </w:r>
    </w:p>
    <w:tbl>
      <w:tblPr>
        <w:tblStyle w:val="8"/>
        <w:tblW w:w="5000" w:type="pct"/>
        <w:tblInd w:w="0" w:type="dxa"/>
        <w:tblLayout w:type="autofit"/>
        <w:tblCellMar>
          <w:top w:w="0" w:type="dxa"/>
          <w:left w:w="108" w:type="dxa"/>
          <w:bottom w:w="0" w:type="dxa"/>
          <w:right w:w="108" w:type="dxa"/>
        </w:tblCellMar>
      </w:tblPr>
      <w:tblGrid>
        <w:gridCol w:w="1090"/>
        <w:gridCol w:w="1286"/>
        <w:gridCol w:w="815"/>
        <w:gridCol w:w="636"/>
        <w:gridCol w:w="816"/>
        <w:gridCol w:w="793"/>
        <w:gridCol w:w="771"/>
        <w:gridCol w:w="771"/>
        <w:gridCol w:w="772"/>
        <w:gridCol w:w="772"/>
      </w:tblGrid>
      <w:tr>
        <w:tblPrEx>
          <w:tblCellMar>
            <w:top w:w="0" w:type="dxa"/>
            <w:left w:w="108" w:type="dxa"/>
            <w:bottom w:w="0" w:type="dxa"/>
            <w:right w:w="108" w:type="dxa"/>
          </w:tblCellMar>
        </w:tblPrEx>
        <w:trPr>
          <w:trHeight w:val="447" w:hRule="atLeast"/>
        </w:trPr>
        <w:tc>
          <w:tcPr>
            <w:tcW w:w="7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课程类别</w:t>
            </w:r>
          </w:p>
        </w:tc>
        <w:tc>
          <w:tcPr>
            <w:tcW w:w="8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课程模块</w:t>
            </w:r>
          </w:p>
        </w:tc>
        <w:tc>
          <w:tcPr>
            <w:tcW w:w="605" w:type="pct"/>
            <w:vMerge w:val="restart"/>
            <w:tcBorders>
              <w:top w:val="single" w:color="auto" w:sz="4" w:space="0"/>
              <w:left w:val="nil"/>
              <w:bottom w:val="single" w:color="000000"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总学分</w:t>
            </w:r>
          </w:p>
        </w:tc>
        <w:tc>
          <w:tcPr>
            <w:tcW w:w="29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总学时</w:t>
            </w:r>
          </w:p>
        </w:tc>
        <w:tc>
          <w:tcPr>
            <w:tcW w:w="957" w:type="pct"/>
            <w:gridSpan w:val="2"/>
            <w:tcBorders>
              <w:top w:val="single" w:color="auto" w:sz="4" w:space="0"/>
              <w:left w:val="nil"/>
              <w:bottom w:val="single" w:color="auto" w:sz="4" w:space="0"/>
              <w:right w:val="single" w:color="000000"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按照课程必修、选修性质统计</w:t>
            </w: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按照学分统计</w:t>
            </w:r>
          </w:p>
        </w:tc>
        <w:tc>
          <w:tcPr>
            <w:tcW w:w="672" w:type="pct"/>
            <w:gridSpan w:val="2"/>
            <w:tcBorders>
              <w:top w:val="single" w:color="auto" w:sz="4" w:space="0"/>
              <w:left w:val="nil"/>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按照学时统计</w:t>
            </w:r>
          </w:p>
        </w:tc>
      </w:tr>
      <w:tr>
        <w:tblPrEx>
          <w:tblCellMar>
            <w:top w:w="0" w:type="dxa"/>
            <w:left w:w="108" w:type="dxa"/>
            <w:bottom w:w="0" w:type="dxa"/>
            <w:right w:w="108" w:type="dxa"/>
          </w:tblCellMar>
        </w:tblPrEx>
        <w:trPr>
          <w:trHeight w:val="270" w:hRule="atLeast"/>
        </w:trPr>
        <w:tc>
          <w:tcPr>
            <w:tcW w:w="766" w:type="pct"/>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ind w:firstLine="0"/>
              <w:jc w:val="left"/>
              <w:rPr>
                <w:b/>
                <w:bCs/>
                <w:color w:val="000000"/>
                <w:kern w:val="0"/>
                <w:sz w:val="18"/>
                <w:szCs w:val="18"/>
              </w:rPr>
            </w:pPr>
          </w:p>
        </w:tc>
        <w:tc>
          <w:tcPr>
            <w:tcW w:w="881" w:type="pct"/>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ind w:firstLine="0"/>
              <w:jc w:val="left"/>
              <w:rPr>
                <w:b/>
                <w:bCs/>
                <w:color w:val="000000"/>
                <w:kern w:val="0"/>
                <w:sz w:val="18"/>
                <w:szCs w:val="18"/>
              </w:rPr>
            </w:pPr>
          </w:p>
        </w:tc>
        <w:tc>
          <w:tcPr>
            <w:tcW w:w="605" w:type="pct"/>
            <w:vMerge w:val="continue"/>
            <w:tcBorders>
              <w:top w:val="nil"/>
              <w:left w:val="nil"/>
              <w:bottom w:val="single" w:color="000000" w:sz="4" w:space="0"/>
              <w:right w:val="single" w:color="auto" w:sz="4" w:space="0"/>
            </w:tcBorders>
            <w:vAlign w:val="center"/>
          </w:tcPr>
          <w:p>
            <w:pPr>
              <w:widowControl/>
              <w:topLinePunct w:val="0"/>
              <w:adjustRightInd/>
              <w:ind w:firstLine="0"/>
              <w:jc w:val="left"/>
              <w:rPr>
                <w:b/>
                <w:bCs/>
                <w:color w:val="000000"/>
                <w:kern w:val="0"/>
                <w:sz w:val="18"/>
                <w:szCs w:val="1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topLinePunct w:val="0"/>
              <w:adjustRightInd/>
              <w:ind w:firstLine="0"/>
              <w:jc w:val="left"/>
              <w:rPr>
                <w:b/>
                <w:bCs/>
                <w:color w:val="000000"/>
                <w:kern w:val="0"/>
                <w:sz w:val="18"/>
                <w:szCs w:val="18"/>
              </w:rPr>
            </w:pP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必修学分</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选修学分</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理论学分</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实践学分</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理论学时</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b/>
                <w:bCs/>
                <w:color w:val="000000"/>
                <w:kern w:val="0"/>
                <w:sz w:val="18"/>
                <w:szCs w:val="18"/>
              </w:rPr>
            </w:pPr>
            <w:r>
              <w:rPr>
                <w:b/>
                <w:bCs/>
                <w:color w:val="000000"/>
                <w:kern w:val="0"/>
                <w:sz w:val="18"/>
                <w:szCs w:val="18"/>
              </w:rPr>
              <w:t>实践学时</w:t>
            </w:r>
          </w:p>
        </w:tc>
      </w:tr>
      <w:tr>
        <w:tblPrEx>
          <w:tblCellMar>
            <w:top w:w="0" w:type="dxa"/>
            <w:left w:w="108" w:type="dxa"/>
            <w:bottom w:w="0" w:type="dxa"/>
            <w:right w:w="108" w:type="dxa"/>
          </w:tblCellMar>
        </w:tblPrEx>
        <w:trPr>
          <w:trHeight w:val="300" w:hRule="atLeast"/>
        </w:trPr>
        <w:tc>
          <w:tcPr>
            <w:tcW w:w="766" w:type="pct"/>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综合素质教育平台</w:t>
            </w: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思想政治模块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16</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256</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16</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12</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4</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192</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64</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军事模块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4</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148</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4</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36</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112</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体育模块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4</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256</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4</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0.75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3.25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48</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208</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通识教育模块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11</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224</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8</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8</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128</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96</w:t>
            </w:r>
          </w:p>
        </w:tc>
      </w:tr>
      <w:tr>
        <w:tblPrEx>
          <w:tblCellMar>
            <w:top w:w="0" w:type="dxa"/>
            <w:left w:w="108" w:type="dxa"/>
            <w:bottom w:w="0" w:type="dxa"/>
            <w:right w:w="108" w:type="dxa"/>
          </w:tblCellMar>
        </w:tblPrEx>
        <w:trPr>
          <w:trHeight w:val="300" w:hRule="atLeast"/>
        </w:trPr>
        <w:tc>
          <w:tcPr>
            <w:tcW w:w="1647" w:type="pct"/>
            <w:gridSpan w:val="2"/>
            <w:tcBorders>
              <w:top w:val="nil"/>
              <w:left w:val="single" w:color="auto" w:sz="4" w:space="0"/>
              <w:bottom w:val="single" w:color="auto" w:sz="4" w:space="0"/>
              <w:right w:val="single" w:color="auto" w:sz="4" w:space="0"/>
            </w:tcBorders>
            <w:vAlign w:val="center"/>
          </w:tcPr>
          <w:p>
            <w:pPr>
              <w:widowControl/>
              <w:topLinePunct w:val="0"/>
              <w:adjustRightInd/>
              <w:ind w:firstLine="0"/>
              <w:jc w:val="center"/>
              <w:rPr>
                <w:color w:val="000000"/>
                <w:kern w:val="0"/>
                <w:sz w:val="18"/>
                <w:szCs w:val="18"/>
              </w:rPr>
            </w:pPr>
            <w:r>
              <w:rPr>
                <w:color w:val="000000"/>
                <w:kern w:val="0"/>
                <w:sz w:val="18"/>
                <w:szCs w:val="18"/>
              </w:rPr>
              <w:t>小计</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35</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sz w:val="18"/>
                <w:szCs w:val="18"/>
              </w:rPr>
              <w:t>884</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sz w:val="18"/>
                <w:szCs w:val="18"/>
              </w:rPr>
              <w:t>27</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sz w:val="18"/>
                <w:szCs w:val="18"/>
              </w:rPr>
              <w:t>8</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sz w:val="18"/>
                <w:szCs w:val="18"/>
              </w:rPr>
              <w:t>22.75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sz w:val="18"/>
                <w:szCs w:val="18"/>
              </w:rPr>
              <w:t>12.25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sz w:val="18"/>
                <w:szCs w:val="18"/>
              </w:rPr>
              <w:t>404</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sz w:val="18"/>
                <w:szCs w:val="18"/>
              </w:rPr>
              <w:t>480</w:t>
            </w:r>
          </w:p>
        </w:tc>
      </w:tr>
      <w:tr>
        <w:tblPrEx>
          <w:tblCellMar>
            <w:top w:w="0" w:type="dxa"/>
            <w:left w:w="108" w:type="dxa"/>
            <w:bottom w:w="0" w:type="dxa"/>
            <w:right w:w="108" w:type="dxa"/>
          </w:tblCellMar>
        </w:tblPrEx>
        <w:trPr>
          <w:trHeight w:val="300" w:hRule="atLeast"/>
        </w:trPr>
        <w:tc>
          <w:tcPr>
            <w:tcW w:w="766" w:type="pct"/>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基础能力教育平台</w:t>
            </w: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语言能力模块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11</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176</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11</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11</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176</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数学能力模块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w:t>
            </w:r>
            <w:r>
              <w:rPr>
                <w:kern w:val="0"/>
                <w:sz w:val="18"/>
                <w:szCs w:val="18"/>
              </w:rPr>
              <w:t>3</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5</w:t>
            </w:r>
            <w:r>
              <w:rPr>
                <w:kern w:val="0"/>
                <w:sz w:val="18"/>
                <w:szCs w:val="18"/>
              </w:rPr>
              <w:t>28</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w:t>
            </w:r>
            <w:r>
              <w:rPr>
                <w:kern w:val="0"/>
                <w:sz w:val="18"/>
                <w:szCs w:val="18"/>
              </w:rPr>
              <w:t>3</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w:t>
            </w:r>
            <w:r>
              <w:rPr>
                <w:kern w:val="0"/>
                <w:sz w:val="18"/>
                <w:szCs w:val="18"/>
              </w:rPr>
              <w:t>3</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5</w:t>
            </w:r>
            <w:r>
              <w:rPr>
                <w:kern w:val="0"/>
                <w:sz w:val="18"/>
                <w:szCs w:val="18"/>
              </w:rPr>
              <w:t>28</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信息能力模块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6</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112</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4.71</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1.29</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88</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24</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设计能力模块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32</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32</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r>
      <w:tr>
        <w:tblPrEx>
          <w:tblCellMar>
            <w:top w:w="0" w:type="dxa"/>
            <w:left w:w="108" w:type="dxa"/>
            <w:bottom w:w="0" w:type="dxa"/>
            <w:right w:w="108" w:type="dxa"/>
          </w:tblCellMar>
        </w:tblPrEx>
        <w:trPr>
          <w:trHeight w:val="300" w:hRule="atLeast"/>
        </w:trPr>
        <w:tc>
          <w:tcPr>
            <w:tcW w:w="16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小计</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52</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848</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49</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50</w:t>
            </w:r>
            <w:r>
              <w:rPr>
                <w:rFonts w:hint="eastAsia"/>
                <w:kern w:val="0"/>
                <w:sz w:val="18"/>
                <w:szCs w:val="18"/>
              </w:rPr>
              <w:t>.71</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29</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8</w:t>
            </w:r>
            <w:r>
              <w:rPr>
                <w:kern w:val="0"/>
                <w:sz w:val="18"/>
                <w:szCs w:val="18"/>
              </w:rPr>
              <w:t>24</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w:t>
            </w:r>
            <w:r>
              <w:rPr>
                <w:rFonts w:hint="eastAsia"/>
                <w:kern w:val="0"/>
                <w:sz w:val="18"/>
                <w:szCs w:val="18"/>
              </w:rPr>
              <w:t>4</w:t>
            </w:r>
          </w:p>
        </w:tc>
      </w:tr>
      <w:tr>
        <w:tblPrEx>
          <w:tblCellMar>
            <w:top w:w="0" w:type="dxa"/>
            <w:left w:w="108" w:type="dxa"/>
            <w:bottom w:w="0" w:type="dxa"/>
            <w:right w:w="108" w:type="dxa"/>
          </w:tblCellMar>
        </w:tblPrEx>
        <w:trPr>
          <w:trHeight w:val="300" w:hRule="atLeast"/>
        </w:trPr>
        <w:tc>
          <w:tcPr>
            <w:tcW w:w="766" w:type="pct"/>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专业教育平台</w:t>
            </w: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学科基础课程模块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19</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336</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w:t>
            </w:r>
            <w:r>
              <w:rPr>
                <w:kern w:val="0"/>
                <w:sz w:val="18"/>
                <w:szCs w:val="18"/>
              </w:rPr>
              <w:t>9</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w:t>
            </w:r>
            <w:r>
              <w:rPr>
                <w:kern w:val="0"/>
                <w:sz w:val="18"/>
                <w:szCs w:val="18"/>
              </w:rPr>
              <w:t>4.7</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4</w:t>
            </w:r>
            <w:r>
              <w:rPr>
                <w:kern w:val="0"/>
                <w:sz w:val="18"/>
                <w:szCs w:val="18"/>
              </w:rPr>
              <w:t>.3</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260</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7</w:t>
            </w:r>
            <w:r>
              <w:rPr>
                <w:kern w:val="0"/>
                <w:sz w:val="18"/>
                <w:szCs w:val="18"/>
              </w:rPr>
              <w:t>6</w:t>
            </w:r>
          </w:p>
        </w:tc>
      </w:tr>
      <w:tr>
        <w:tblPrEx>
          <w:tblCellMar>
            <w:top w:w="0" w:type="dxa"/>
            <w:left w:w="108" w:type="dxa"/>
            <w:bottom w:w="0" w:type="dxa"/>
            <w:right w:w="108" w:type="dxa"/>
          </w:tblCellMar>
        </w:tblPrEx>
        <w:trPr>
          <w:trHeight w:val="300" w:hRule="atLeast"/>
        </w:trPr>
        <w:tc>
          <w:tcPr>
            <w:tcW w:w="766" w:type="pct"/>
            <w:vMerge w:val="continue"/>
            <w:tcBorders>
              <w:left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专业</w:t>
            </w:r>
            <w:r>
              <w:rPr>
                <w:rFonts w:hint="eastAsia"/>
                <w:kern w:val="0"/>
                <w:sz w:val="18"/>
                <w:szCs w:val="18"/>
              </w:rPr>
              <w:t>基础</w:t>
            </w:r>
            <w:r>
              <w:rPr>
                <w:kern w:val="0"/>
                <w:sz w:val="18"/>
                <w:szCs w:val="18"/>
              </w:rPr>
              <w:t>必修课程模块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16</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256</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16</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13.63</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2.37</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218</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38</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专业核心必修课程模块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27</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4</w:t>
            </w:r>
            <w:r>
              <w:rPr>
                <w:kern w:val="0"/>
                <w:sz w:val="18"/>
                <w:szCs w:val="18"/>
              </w:rPr>
              <w:t>32</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w:t>
            </w:r>
            <w:r>
              <w:rPr>
                <w:kern w:val="0"/>
                <w:sz w:val="18"/>
                <w:szCs w:val="18"/>
              </w:rPr>
              <w:t>7</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w:t>
            </w:r>
            <w:r>
              <w:rPr>
                <w:kern w:val="0"/>
                <w:sz w:val="18"/>
                <w:szCs w:val="18"/>
              </w:rPr>
              <w:t>1.5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5.5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344</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8</w:t>
            </w:r>
            <w:r>
              <w:rPr>
                <w:kern w:val="0"/>
                <w:sz w:val="18"/>
                <w:szCs w:val="18"/>
              </w:rPr>
              <w:t>8</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专业拓展选修课程模块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0</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60</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7.5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120</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40</w:t>
            </w:r>
          </w:p>
        </w:tc>
      </w:tr>
      <w:tr>
        <w:tblPrEx>
          <w:tblCellMar>
            <w:top w:w="0" w:type="dxa"/>
            <w:left w:w="108" w:type="dxa"/>
            <w:bottom w:w="0" w:type="dxa"/>
            <w:right w:w="108" w:type="dxa"/>
          </w:tblCellMar>
        </w:tblPrEx>
        <w:trPr>
          <w:trHeight w:val="300" w:hRule="atLeast"/>
        </w:trPr>
        <w:tc>
          <w:tcPr>
            <w:tcW w:w="16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小计</w:t>
            </w:r>
          </w:p>
        </w:tc>
        <w:tc>
          <w:tcPr>
            <w:tcW w:w="1004"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72</w:t>
            </w:r>
          </w:p>
        </w:tc>
        <w:tc>
          <w:tcPr>
            <w:tcW w:w="636"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1184</w:t>
            </w:r>
          </w:p>
        </w:tc>
        <w:tc>
          <w:tcPr>
            <w:tcW w:w="682"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62</w:t>
            </w:r>
          </w:p>
        </w:tc>
        <w:tc>
          <w:tcPr>
            <w:tcW w:w="983"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10</w:t>
            </w:r>
          </w:p>
        </w:tc>
        <w:tc>
          <w:tcPr>
            <w:tcW w:w="738"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57.33</w:t>
            </w:r>
          </w:p>
        </w:tc>
        <w:tc>
          <w:tcPr>
            <w:tcW w:w="622"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14.67</w:t>
            </w:r>
          </w:p>
        </w:tc>
        <w:tc>
          <w:tcPr>
            <w:tcW w:w="616"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942</w:t>
            </w:r>
          </w:p>
        </w:tc>
        <w:tc>
          <w:tcPr>
            <w:tcW w:w="487"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242</w:t>
            </w:r>
          </w:p>
        </w:tc>
      </w:tr>
      <w:tr>
        <w:tblPrEx>
          <w:tblCellMar>
            <w:top w:w="0" w:type="dxa"/>
            <w:left w:w="108" w:type="dxa"/>
            <w:bottom w:w="0" w:type="dxa"/>
            <w:right w:w="108" w:type="dxa"/>
          </w:tblCellMar>
        </w:tblPrEx>
        <w:trPr>
          <w:trHeight w:val="300" w:hRule="atLeast"/>
        </w:trPr>
        <w:tc>
          <w:tcPr>
            <w:tcW w:w="766" w:type="pct"/>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创新实践教育平台</w:t>
            </w: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创新创业实践模块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32</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2</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32</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劳动实践模块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1.5</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48</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1.5</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1.5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0</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color w:val="000000"/>
                <w:kern w:val="0"/>
                <w:sz w:val="18"/>
                <w:szCs w:val="18"/>
              </w:rPr>
            </w:pPr>
            <w:r>
              <w:rPr>
                <w:color w:val="000000"/>
                <w:kern w:val="0"/>
                <w:sz w:val="18"/>
                <w:szCs w:val="18"/>
              </w:rPr>
              <w:t>48</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综合实践模块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3</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4</w:t>
            </w:r>
            <w:r>
              <w:rPr>
                <w:kern w:val="0"/>
                <w:sz w:val="18"/>
                <w:szCs w:val="18"/>
              </w:rPr>
              <w:t>8</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3</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3</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48</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实习实训模块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6</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w:t>
            </w:r>
            <w:r>
              <w:rPr>
                <w:kern w:val="0"/>
                <w:sz w:val="18"/>
                <w:szCs w:val="18"/>
              </w:rPr>
              <w:t>00</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6</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6</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w:t>
            </w:r>
            <w:r>
              <w:rPr>
                <w:kern w:val="0"/>
                <w:sz w:val="18"/>
                <w:szCs w:val="18"/>
              </w:rPr>
              <w:t>00</w:t>
            </w:r>
          </w:p>
        </w:tc>
      </w:tr>
      <w:tr>
        <w:tblPrEx>
          <w:tblCellMar>
            <w:top w:w="0" w:type="dxa"/>
            <w:left w:w="108" w:type="dxa"/>
            <w:bottom w:w="0" w:type="dxa"/>
            <w:right w:w="108" w:type="dxa"/>
          </w:tblCellMar>
        </w:tblPrEx>
        <w:trPr>
          <w:trHeight w:val="300" w:hRule="atLeast"/>
        </w:trPr>
        <w:tc>
          <w:tcPr>
            <w:tcW w:w="766" w:type="pct"/>
            <w:vMerge w:val="continue"/>
            <w:tcBorders>
              <w:top w:val="nil"/>
              <w:left w:val="single" w:color="auto" w:sz="4" w:space="0"/>
              <w:bottom w:val="single" w:color="auto" w:sz="4" w:space="0"/>
              <w:right w:val="single" w:color="auto" w:sz="4" w:space="0"/>
            </w:tcBorders>
            <w:vAlign w:val="center"/>
          </w:tcPr>
          <w:p>
            <w:pPr>
              <w:widowControl/>
              <w:topLinePunct w:val="0"/>
              <w:adjustRightInd/>
              <w:ind w:firstLine="0"/>
              <w:jc w:val="left"/>
              <w:rPr>
                <w:kern w:val="0"/>
                <w:sz w:val="18"/>
                <w:szCs w:val="18"/>
              </w:rPr>
            </w:pPr>
          </w:p>
        </w:tc>
        <w:tc>
          <w:tcPr>
            <w:tcW w:w="881"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毕业设计模块</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15</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512</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15</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512</w:t>
            </w:r>
          </w:p>
        </w:tc>
      </w:tr>
      <w:tr>
        <w:tblPrEx>
          <w:tblCellMar>
            <w:top w:w="0" w:type="dxa"/>
            <w:left w:w="108" w:type="dxa"/>
            <w:bottom w:w="0" w:type="dxa"/>
            <w:right w:w="108" w:type="dxa"/>
          </w:tblCellMar>
        </w:tblPrEx>
        <w:trPr>
          <w:trHeight w:val="300" w:hRule="atLeast"/>
        </w:trPr>
        <w:tc>
          <w:tcPr>
            <w:tcW w:w="16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小计</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27.5</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840</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27.5</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27.5</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0</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840</w:t>
            </w:r>
          </w:p>
        </w:tc>
      </w:tr>
      <w:tr>
        <w:tblPrEx>
          <w:tblCellMar>
            <w:top w:w="0" w:type="dxa"/>
            <w:left w:w="108" w:type="dxa"/>
            <w:bottom w:w="0" w:type="dxa"/>
            <w:right w:w="108" w:type="dxa"/>
          </w:tblCellMar>
        </w:tblPrEx>
        <w:trPr>
          <w:trHeight w:val="300" w:hRule="atLeast"/>
        </w:trPr>
        <w:tc>
          <w:tcPr>
            <w:tcW w:w="16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总计</w:t>
            </w:r>
          </w:p>
        </w:tc>
        <w:tc>
          <w:tcPr>
            <w:tcW w:w="939"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186.5</w:t>
            </w:r>
          </w:p>
        </w:tc>
        <w:tc>
          <w:tcPr>
            <w:tcW w:w="636"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3756</w:t>
            </w:r>
          </w:p>
        </w:tc>
        <w:tc>
          <w:tcPr>
            <w:tcW w:w="681"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165.5</w:t>
            </w:r>
          </w:p>
        </w:tc>
        <w:tc>
          <w:tcPr>
            <w:tcW w:w="918"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21</w:t>
            </w:r>
          </w:p>
        </w:tc>
        <w:tc>
          <w:tcPr>
            <w:tcW w:w="681"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w:t>
            </w:r>
            <w:r>
              <w:rPr>
                <w:kern w:val="0"/>
                <w:sz w:val="18"/>
                <w:szCs w:val="18"/>
              </w:rPr>
              <w:t>30</w:t>
            </w:r>
            <w:r>
              <w:rPr>
                <w:rFonts w:hint="eastAsia"/>
                <w:kern w:val="0"/>
                <w:sz w:val="18"/>
                <w:szCs w:val="18"/>
              </w:rPr>
              <w:t>.</w:t>
            </w:r>
            <w:r>
              <w:rPr>
                <w:kern w:val="0"/>
                <w:sz w:val="18"/>
                <w:szCs w:val="18"/>
              </w:rPr>
              <w:t>79</w:t>
            </w:r>
          </w:p>
        </w:tc>
        <w:tc>
          <w:tcPr>
            <w:tcW w:w="681"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5</w:t>
            </w:r>
            <w:r>
              <w:rPr>
                <w:kern w:val="0"/>
                <w:sz w:val="18"/>
                <w:szCs w:val="18"/>
              </w:rPr>
              <w:t>5.71</w:t>
            </w:r>
          </w:p>
        </w:tc>
        <w:tc>
          <w:tcPr>
            <w:tcW w:w="681"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2170</w:t>
            </w:r>
          </w:p>
        </w:tc>
        <w:tc>
          <w:tcPr>
            <w:tcW w:w="681" w:type="dxa"/>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1586</w:t>
            </w:r>
          </w:p>
        </w:tc>
      </w:tr>
      <w:tr>
        <w:tblPrEx>
          <w:tblCellMar>
            <w:top w:w="0" w:type="dxa"/>
            <w:left w:w="108" w:type="dxa"/>
            <w:bottom w:w="0" w:type="dxa"/>
            <w:right w:w="108" w:type="dxa"/>
          </w:tblCellMar>
        </w:tblPrEx>
        <w:trPr>
          <w:trHeight w:val="300" w:hRule="atLeast"/>
        </w:trPr>
        <w:tc>
          <w:tcPr>
            <w:tcW w:w="16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分布比例（%）</w:t>
            </w:r>
          </w:p>
        </w:tc>
        <w:tc>
          <w:tcPr>
            <w:tcW w:w="60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100%</w:t>
            </w:r>
          </w:p>
        </w:tc>
        <w:tc>
          <w:tcPr>
            <w:tcW w:w="293"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100%</w:t>
            </w:r>
          </w:p>
        </w:tc>
        <w:tc>
          <w:tcPr>
            <w:tcW w:w="365"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8</w:t>
            </w:r>
            <w:r>
              <w:rPr>
                <w:rFonts w:hint="eastAsia"/>
                <w:kern w:val="0"/>
                <w:sz w:val="18"/>
                <w:szCs w:val="18"/>
              </w:rPr>
              <w:t>8.</w:t>
            </w:r>
            <w:r>
              <w:rPr>
                <w:kern w:val="0"/>
                <w:sz w:val="18"/>
                <w:szCs w:val="18"/>
              </w:rPr>
              <w:t>74 %</w:t>
            </w:r>
          </w:p>
        </w:tc>
        <w:tc>
          <w:tcPr>
            <w:tcW w:w="592"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1.</w:t>
            </w:r>
            <w:r>
              <w:rPr>
                <w:kern w:val="0"/>
                <w:sz w:val="18"/>
                <w:szCs w:val="18"/>
              </w:rPr>
              <w:t>26%</w:t>
            </w:r>
          </w:p>
        </w:tc>
        <w:tc>
          <w:tcPr>
            <w:tcW w:w="44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70.13</w:t>
            </w:r>
            <w:r>
              <w:rPr>
                <w:rFonts w:hint="eastAsia"/>
                <w:kern w:val="0"/>
                <w:sz w:val="18"/>
                <w:szCs w:val="18"/>
              </w:rPr>
              <w:t>%</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29.87</w:t>
            </w:r>
            <w:r>
              <w:rPr>
                <w:rFonts w:hint="eastAsia"/>
                <w:kern w:val="0"/>
                <w:sz w:val="18"/>
                <w:szCs w:val="18"/>
              </w:rPr>
              <w:t>%</w:t>
            </w:r>
          </w:p>
        </w:tc>
        <w:tc>
          <w:tcPr>
            <w:tcW w:w="378"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57.77</w:t>
            </w:r>
            <w:r>
              <w:rPr>
                <w:rFonts w:hint="eastAsia"/>
                <w:kern w:val="0"/>
                <w:sz w:val="18"/>
                <w:szCs w:val="18"/>
              </w:rPr>
              <w:t>%</w:t>
            </w:r>
          </w:p>
        </w:tc>
        <w:tc>
          <w:tcPr>
            <w:tcW w:w="294" w:type="pct"/>
            <w:tcBorders>
              <w:top w:val="nil"/>
              <w:left w:val="nil"/>
              <w:bottom w:val="single" w:color="auto" w:sz="4" w:space="0"/>
              <w:right w:val="single" w:color="auto" w:sz="4" w:space="0"/>
            </w:tcBorders>
            <w:shd w:val="clear" w:color="auto" w:fill="auto"/>
            <w:vAlign w:val="center"/>
          </w:tcPr>
          <w:p>
            <w:pPr>
              <w:widowControl/>
              <w:topLinePunct w:val="0"/>
              <w:adjustRightInd/>
              <w:ind w:firstLine="0"/>
              <w:jc w:val="center"/>
              <w:rPr>
                <w:kern w:val="0"/>
                <w:sz w:val="18"/>
                <w:szCs w:val="18"/>
              </w:rPr>
            </w:pPr>
            <w:r>
              <w:rPr>
                <w:kern w:val="0"/>
                <w:sz w:val="18"/>
                <w:szCs w:val="18"/>
              </w:rPr>
              <w:t>42.23</w:t>
            </w:r>
            <w:r>
              <w:rPr>
                <w:rFonts w:hint="eastAsia"/>
                <w:kern w:val="0"/>
                <w:sz w:val="18"/>
                <w:szCs w:val="18"/>
              </w:rPr>
              <w:t>%</w:t>
            </w:r>
          </w:p>
        </w:tc>
      </w:tr>
    </w:tbl>
    <w:p>
      <w:pPr>
        <w:pStyle w:val="3"/>
        <w:spacing w:line="300" w:lineRule="auto"/>
        <w:ind w:left="0" w:firstLine="420" w:firstLineChars="200"/>
        <w:rPr>
          <w:rFonts w:ascii="宋体" w:hAnsi="宋体"/>
          <w:szCs w:val="21"/>
        </w:rPr>
      </w:pPr>
    </w:p>
    <w:p>
      <w:pPr>
        <w:pStyle w:val="3"/>
        <w:spacing w:line="300" w:lineRule="auto"/>
        <w:ind w:left="0" w:firstLine="480" w:firstLineChars="200"/>
        <w:outlineLvl w:val="0"/>
        <w:rPr>
          <w:rFonts w:ascii="黑体" w:eastAsia="黑体"/>
          <w:sz w:val="24"/>
        </w:rPr>
      </w:pPr>
      <w:r>
        <w:rPr>
          <w:rFonts w:hint="eastAsia" w:ascii="黑体" w:eastAsia="黑体"/>
          <w:sz w:val="24"/>
        </w:rPr>
        <w:t>（二）相关说明</w:t>
      </w:r>
    </w:p>
    <w:p>
      <w:pPr>
        <w:pStyle w:val="3"/>
        <w:spacing w:line="300" w:lineRule="auto"/>
        <w:ind w:left="0" w:firstLine="422" w:firstLineChars="200"/>
        <w:rPr>
          <w:rFonts w:ascii="宋体" w:hAnsi="宋体"/>
          <w:b/>
          <w:szCs w:val="21"/>
        </w:rPr>
      </w:pPr>
      <w:r>
        <w:rPr>
          <w:rFonts w:hint="eastAsia" w:ascii="宋体" w:hAnsi="宋体"/>
          <w:b/>
          <w:szCs w:val="21"/>
        </w:rPr>
        <w:t>无</w:t>
      </w:r>
    </w:p>
    <w:p>
      <w:pPr>
        <w:pStyle w:val="3"/>
        <w:spacing w:line="300" w:lineRule="auto"/>
        <w:ind w:left="0" w:firstLine="480" w:firstLineChars="200"/>
        <w:outlineLvl w:val="0"/>
        <w:rPr>
          <w:rFonts w:ascii="黑体" w:eastAsia="黑体"/>
          <w:sz w:val="24"/>
        </w:rPr>
      </w:pPr>
      <w:r>
        <w:rPr>
          <w:rFonts w:hint="eastAsia" w:ascii="黑体" w:eastAsia="黑体"/>
          <w:sz w:val="24"/>
        </w:rPr>
        <w:t>六、课程设置及教学进程计划</w:t>
      </w:r>
    </w:p>
    <w:p>
      <w:pPr>
        <w:pStyle w:val="3"/>
        <w:spacing w:line="300" w:lineRule="auto"/>
        <w:ind w:left="0" w:firstLine="422" w:firstLineChars="200"/>
        <w:rPr>
          <w:rFonts w:ascii="宋体" w:hAnsi="宋体"/>
          <w:b/>
          <w:szCs w:val="21"/>
        </w:rPr>
      </w:pPr>
      <w:r>
        <w:rPr>
          <w:rFonts w:ascii="宋体" w:hAnsi="宋体"/>
          <w:b/>
          <w:szCs w:val="21"/>
        </w:rPr>
        <w:t>本专业</w:t>
      </w:r>
      <w:r>
        <w:rPr>
          <w:rFonts w:hint="eastAsia" w:ascii="宋体" w:hAnsi="宋体"/>
          <w:b/>
          <w:szCs w:val="21"/>
        </w:rPr>
        <w:t>课程设置及教学</w:t>
      </w:r>
      <w:r>
        <w:rPr>
          <w:rFonts w:ascii="宋体" w:hAnsi="宋体"/>
          <w:b/>
          <w:szCs w:val="21"/>
        </w:rPr>
        <w:t>进程计划如表</w:t>
      </w:r>
      <w:r>
        <w:rPr>
          <w:rFonts w:hint="eastAsia" w:ascii="宋体" w:hAnsi="宋体"/>
          <w:b/>
          <w:szCs w:val="21"/>
        </w:rPr>
        <w:t>2所示。</w:t>
      </w:r>
    </w:p>
    <w:p>
      <w:pPr>
        <w:pStyle w:val="3"/>
        <w:spacing w:line="300" w:lineRule="auto"/>
        <w:ind w:left="0" w:firstLine="422" w:firstLineChars="200"/>
        <w:rPr>
          <w:rFonts w:ascii="宋体" w:hAnsi="宋体"/>
          <w:b/>
          <w:szCs w:val="21"/>
        </w:rPr>
      </w:pPr>
      <w:r>
        <w:rPr>
          <w:rFonts w:hint="eastAsia" w:ascii="宋体" w:hAnsi="宋体"/>
          <w:b/>
          <w:szCs w:val="21"/>
        </w:rPr>
        <w:t>学科基础核心课程：</w:t>
      </w:r>
    </w:p>
    <w:p>
      <w:pPr>
        <w:spacing w:line="360" w:lineRule="auto"/>
        <w:ind w:firstLine="420" w:firstLineChars="200"/>
        <w:outlineLvl w:val="1"/>
        <w:rPr>
          <w:szCs w:val="22"/>
        </w:rPr>
      </w:pPr>
      <w:r>
        <w:rPr>
          <w:rFonts w:hint="eastAsia"/>
          <w:szCs w:val="22"/>
        </w:rPr>
        <w:t>大学物理(A)I、大学物理(A)II、物理实验I、物理实验II、交通运输大类专业导论、工程图学基础(B)、电工技术、工程测量、工程力学(D)</w:t>
      </w:r>
    </w:p>
    <w:p>
      <w:pPr>
        <w:pStyle w:val="3"/>
        <w:spacing w:line="300" w:lineRule="auto"/>
        <w:ind w:left="0" w:firstLine="422" w:firstLineChars="200"/>
        <w:rPr>
          <w:rFonts w:ascii="宋体" w:hAnsi="宋体"/>
          <w:b/>
          <w:szCs w:val="21"/>
        </w:rPr>
      </w:pPr>
      <w:r>
        <w:rPr>
          <w:rFonts w:hint="eastAsia" w:ascii="宋体" w:hAnsi="宋体"/>
          <w:b/>
          <w:szCs w:val="21"/>
        </w:rPr>
        <w:t>专业核心必修课程：</w:t>
      </w:r>
    </w:p>
    <w:p>
      <w:pPr>
        <w:spacing w:line="360" w:lineRule="auto"/>
        <w:ind w:firstLine="420" w:firstLineChars="200"/>
        <w:outlineLvl w:val="1"/>
        <w:rPr>
          <w:szCs w:val="22"/>
        </w:rPr>
      </w:pPr>
      <w:r>
        <w:rPr>
          <w:rFonts w:hint="eastAsia"/>
          <w:szCs w:val="22"/>
        </w:rPr>
        <w:t>交通运输专业平台课程：管理运筹学、交通运输设备、综合交通规划与设计、运输组织学、交通运输经济学A</w:t>
      </w:r>
    </w:p>
    <w:p>
      <w:pPr>
        <w:pStyle w:val="3"/>
        <w:spacing w:line="300" w:lineRule="auto"/>
        <w:ind w:left="0" w:firstLine="420" w:firstLineChars="200"/>
        <w:rPr>
          <w:rFonts w:ascii="宋体" w:hAnsi="宋体"/>
          <w:b/>
          <w:i/>
          <w:color w:val="FF0000"/>
          <w:szCs w:val="21"/>
        </w:rPr>
        <w:sectPr>
          <w:pgSz w:w="11906" w:h="16838"/>
          <w:pgMar w:top="1440" w:right="1800" w:bottom="1440" w:left="1800" w:header="851" w:footer="992" w:gutter="0"/>
          <w:cols w:space="425" w:num="1"/>
          <w:docGrid w:type="lines" w:linePitch="312" w:charSpace="0"/>
        </w:sectPr>
      </w:pPr>
      <w:r>
        <w:rPr>
          <w:rFonts w:hint="eastAsia"/>
          <w:szCs w:val="22"/>
        </w:rPr>
        <w:t>核心课程：铁路行车组织、铁路站场与枢纽、铁路货运组织与技术、铁路旅客运输、数据结构与算法、数值计算、信息与编码</w:t>
      </w:r>
    </w:p>
    <w:p>
      <w:pPr>
        <w:pStyle w:val="3"/>
        <w:spacing w:line="300" w:lineRule="auto"/>
        <w:ind w:left="0"/>
        <w:jc w:val="center"/>
        <w:rPr>
          <w:rFonts w:ascii="宋体" w:hAnsi="宋体"/>
          <w:b/>
          <w:szCs w:val="21"/>
        </w:rPr>
      </w:pPr>
      <w:r>
        <w:rPr>
          <w:rFonts w:hint="eastAsia" w:ascii="宋体" w:hAnsi="宋体"/>
          <w:b/>
          <w:szCs w:val="21"/>
        </w:rPr>
        <w:t>表2课程设置及教学进程计划</w:t>
      </w:r>
    </w:p>
    <w:tbl>
      <w:tblPr>
        <w:tblStyle w:val="8"/>
        <w:tblW w:w="5452" w:type="pct"/>
        <w:tblInd w:w="0" w:type="dxa"/>
        <w:tblLayout w:type="fixed"/>
        <w:tblCellMar>
          <w:top w:w="0" w:type="dxa"/>
          <w:left w:w="108" w:type="dxa"/>
          <w:bottom w:w="0" w:type="dxa"/>
          <w:right w:w="108" w:type="dxa"/>
        </w:tblCellMar>
      </w:tblPr>
      <w:tblGrid>
        <w:gridCol w:w="804"/>
        <w:gridCol w:w="684"/>
        <w:gridCol w:w="1831"/>
        <w:gridCol w:w="1115"/>
        <w:gridCol w:w="469"/>
        <w:gridCol w:w="772"/>
        <w:gridCol w:w="570"/>
        <w:gridCol w:w="523"/>
        <w:gridCol w:w="535"/>
        <w:gridCol w:w="483"/>
        <w:gridCol w:w="602"/>
        <w:gridCol w:w="905"/>
      </w:tblGrid>
      <w:tr>
        <w:tblPrEx>
          <w:tblCellMar>
            <w:top w:w="0" w:type="dxa"/>
            <w:left w:w="108" w:type="dxa"/>
            <w:bottom w:w="0" w:type="dxa"/>
            <w:right w:w="108" w:type="dxa"/>
          </w:tblCellMar>
        </w:tblPrEx>
        <w:trPr>
          <w:trHeight w:val="368" w:hRule="atLeast"/>
        </w:trPr>
        <w:tc>
          <w:tcPr>
            <w:tcW w:w="432"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课程平台</w:t>
            </w:r>
          </w:p>
        </w:tc>
        <w:tc>
          <w:tcPr>
            <w:tcW w:w="368"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课程模块</w:t>
            </w:r>
          </w:p>
        </w:tc>
        <w:tc>
          <w:tcPr>
            <w:tcW w:w="985"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课程名称</w:t>
            </w:r>
          </w:p>
        </w:tc>
        <w:tc>
          <w:tcPr>
            <w:tcW w:w="599"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课程编号</w:t>
            </w:r>
          </w:p>
        </w:tc>
        <w:tc>
          <w:tcPr>
            <w:tcW w:w="252"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课程性质</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记分方式</w:t>
            </w:r>
          </w:p>
        </w:tc>
        <w:tc>
          <w:tcPr>
            <w:tcW w:w="306"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学分要求</w:t>
            </w:r>
          </w:p>
        </w:tc>
        <w:tc>
          <w:tcPr>
            <w:tcW w:w="281"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总学时</w:t>
            </w:r>
          </w:p>
        </w:tc>
        <w:tc>
          <w:tcPr>
            <w:tcW w:w="287"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理论学时</w:t>
            </w:r>
          </w:p>
        </w:tc>
        <w:tc>
          <w:tcPr>
            <w:tcW w:w="259"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实践学时</w:t>
            </w:r>
          </w:p>
        </w:tc>
        <w:tc>
          <w:tcPr>
            <w:tcW w:w="323"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开课学期（</w:t>
            </w:r>
            <w:r>
              <w:rPr>
                <w:rStyle w:val="134"/>
                <w:sz w:val="18"/>
                <w:szCs w:val="18"/>
                <w:lang w:bidi="ar"/>
              </w:rPr>
              <w:t>1-8</w:t>
            </w:r>
            <w:r>
              <w:rPr>
                <w:rFonts w:hint="eastAsia" w:cs="宋体"/>
                <w:b/>
                <w:bCs/>
                <w:color w:val="000000"/>
                <w:kern w:val="0"/>
                <w:sz w:val="18"/>
                <w:szCs w:val="18"/>
                <w:lang w:bidi="ar"/>
              </w:rPr>
              <w:t>学期、夏季</w:t>
            </w:r>
            <w:r>
              <w:rPr>
                <w:rStyle w:val="134"/>
                <w:sz w:val="18"/>
                <w:szCs w:val="18"/>
                <w:lang w:bidi="ar"/>
              </w:rPr>
              <w:t>S1\S2\S3</w:t>
            </w:r>
            <w:r>
              <w:rPr>
                <w:rFonts w:hint="eastAsia" w:cs="宋体"/>
                <w:b/>
                <w:bCs/>
                <w:color w:val="000000"/>
                <w:kern w:val="0"/>
                <w:sz w:val="18"/>
                <w:szCs w:val="18"/>
                <w:lang w:bidi="ar"/>
              </w:rPr>
              <w:t>学期）</w:t>
            </w:r>
          </w:p>
        </w:tc>
        <w:tc>
          <w:tcPr>
            <w:tcW w:w="486"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bookmarkStart w:id="0" w:name="_GoBack"/>
            <w:bookmarkEnd w:id="0"/>
            <w:r>
              <w:rPr>
                <w:rFonts w:hint="eastAsia" w:cs="宋体"/>
                <w:b/>
                <w:bCs/>
                <w:color w:val="000000"/>
                <w:kern w:val="0"/>
                <w:sz w:val="18"/>
                <w:szCs w:val="18"/>
                <w:lang w:bidi="ar"/>
              </w:rPr>
              <w:t>说明</w:t>
            </w:r>
          </w:p>
        </w:tc>
      </w:tr>
      <w:tr>
        <w:tblPrEx>
          <w:tblCellMar>
            <w:top w:w="0" w:type="dxa"/>
            <w:left w:w="108" w:type="dxa"/>
            <w:bottom w:w="0" w:type="dxa"/>
            <w:right w:w="108" w:type="dxa"/>
          </w:tblCellMar>
        </w:tblPrEx>
        <w:trPr>
          <w:trHeight w:val="1425"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985"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599"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252"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b/>
                <w:bCs/>
                <w:color w:val="000000"/>
                <w:sz w:val="18"/>
                <w:szCs w:val="18"/>
              </w:rPr>
            </w:pPr>
            <w:r>
              <w:rPr>
                <w:rFonts w:hint="eastAsia" w:cs="宋体"/>
                <w:b/>
                <w:bCs/>
                <w:color w:val="000000"/>
                <w:kern w:val="0"/>
                <w:sz w:val="18"/>
                <w:szCs w:val="18"/>
                <w:lang w:bidi="ar"/>
              </w:rPr>
              <w:t>（百分制</w:t>
            </w:r>
            <w:r>
              <w:rPr>
                <w:rStyle w:val="134"/>
                <w:sz w:val="18"/>
                <w:szCs w:val="18"/>
                <w:lang w:bidi="ar"/>
              </w:rPr>
              <w:t>/</w:t>
            </w:r>
            <w:r>
              <w:rPr>
                <w:rFonts w:hint="eastAsia" w:cs="宋体"/>
                <w:b/>
                <w:bCs/>
                <w:color w:val="000000"/>
                <w:kern w:val="0"/>
                <w:sz w:val="18"/>
                <w:szCs w:val="18"/>
                <w:lang w:bidi="ar"/>
              </w:rPr>
              <w:t>五级制）</w:t>
            </w:r>
          </w:p>
        </w:tc>
        <w:tc>
          <w:tcPr>
            <w:tcW w:w="30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281"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287"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259"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323"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cs="宋体"/>
                <w:b/>
                <w:bCs/>
                <w:color w:val="000000"/>
                <w:sz w:val="18"/>
                <w:szCs w:val="18"/>
              </w:rPr>
            </w:pPr>
          </w:p>
        </w:tc>
      </w:tr>
      <w:tr>
        <w:tblPrEx>
          <w:tblCellMar>
            <w:top w:w="0" w:type="dxa"/>
            <w:left w:w="108" w:type="dxa"/>
            <w:bottom w:w="0" w:type="dxa"/>
            <w:right w:w="108" w:type="dxa"/>
          </w:tblCellMar>
        </w:tblPrEx>
        <w:trPr>
          <w:trHeight w:val="368" w:hRule="atLeast"/>
        </w:trPr>
        <w:tc>
          <w:tcPr>
            <w:tcW w:w="4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ind w:firstLine="0"/>
              <w:textAlignment w:val="center"/>
              <w:rPr>
                <w:rFonts w:cs="宋体"/>
                <w:color w:val="000000"/>
                <w:sz w:val="18"/>
                <w:szCs w:val="18"/>
              </w:rPr>
            </w:pPr>
            <w:r>
              <w:rPr>
                <w:rFonts w:hint="eastAsia" w:cs="宋体"/>
                <w:color w:val="000000"/>
                <w:kern w:val="0"/>
                <w:sz w:val="18"/>
                <w:szCs w:val="18"/>
                <w:lang w:bidi="ar"/>
              </w:rPr>
              <w:t>综合素质教育平台（</w:t>
            </w:r>
            <w:r>
              <w:rPr>
                <w:rStyle w:val="135"/>
                <w:sz w:val="18"/>
                <w:szCs w:val="18"/>
                <w:lang w:bidi="ar"/>
              </w:rPr>
              <w:t>35</w:t>
            </w:r>
            <w:r>
              <w:rPr>
                <w:rFonts w:hint="eastAsia" w:cs="宋体"/>
                <w:color w:val="000000"/>
                <w:kern w:val="0"/>
                <w:sz w:val="18"/>
                <w:szCs w:val="18"/>
                <w:lang w:bidi="ar"/>
              </w:rPr>
              <w:t>学分）</w:t>
            </w:r>
          </w:p>
        </w:tc>
        <w:tc>
          <w:tcPr>
            <w:tcW w:w="368"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r>
              <w:rPr>
                <w:rFonts w:hint="eastAsia"/>
                <w:color w:val="000000"/>
                <w:kern w:val="0"/>
                <w:sz w:val="18"/>
                <w:szCs w:val="18"/>
              </w:rPr>
              <w:t>思政类课程（</w:t>
            </w:r>
            <w:r>
              <w:rPr>
                <w:color w:val="000000"/>
                <w:kern w:val="0"/>
                <w:sz w:val="18"/>
                <w:szCs w:val="18"/>
              </w:rPr>
              <w:t>16</w:t>
            </w:r>
            <w:r>
              <w:rPr>
                <w:rFonts w:hint="eastAsia"/>
                <w:color w:val="000000"/>
                <w:kern w:val="0"/>
                <w:sz w:val="18"/>
                <w:szCs w:val="18"/>
              </w:rPr>
              <w:t>学分）</w:t>
            </w: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思想道德与法治</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A109008B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40</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1</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中国近现代史纲要</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A109002B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26</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6</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马克思主义基本原理</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A109003B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40</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3</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毛泽东思想和中国特色社会主义理论体系概论</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A109004B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lang w:val="en-US" w:eastAsia="zh-CN"/>
              </w:rPr>
              <w:t>2</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习近平新时代中国特色社会主义思想概论</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A109009B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40</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思想政治理论课社会实践</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A109006B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8</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24</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夏季S1\S2</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形势与政策</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rFonts w:hint="eastAsia" w:eastAsia="宋体"/>
                <w:kern w:val="0"/>
                <w:sz w:val="18"/>
                <w:szCs w:val="18"/>
              </w:rPr>
            </w:pPr>
            <w:r>
              <w:rPr>
                <w:rFonts w:hint="eastAsia" w:eastAsia="宋体"/>
                <w:kern w:val="0"/>
                <w:sz w:val="18"/>
                <w:szCs w:val="18"/>
              </w:rPr>
              <w:t>A109007B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26</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6</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eastAsia" w:eastAsia="宋体"/>
                <w:kern w:val="0"/>
                <w:sz w:val="18"/>
                <w:szCs w:val="18"/>
              </w:rPr>
            </w:pPr>
            <w:r>
              <w:rPr>
                <w:rFonts w:hint="eastAsia" w:eastAsia="宋体"/>
                <w:kern w:val="0"/>
                <w:sz w:val="18"/>
                <w:szCs w:val="18"/>
              </w:rPr>
              <w:t>1-8</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r>
              <w:rPr>
                <w:rFonts w:hint="eastAsia"/>
                <w:color w:val="000000"/>
                <w:kern w:val="0"/>
                <w:sz w:val="18"/>
                <w:szCs w:val="18"/>
              </w:rPr>
              <w:t>军事课（</w:t>
            </w:r>
            <w:r>
              <w:rPr>
                <w:color w:val="000000"/>
                <w:kern w:val="0"/>
                <w:sz w:val="18"/>
                <w:szCs w:val="18"/>
              </w:rPr>
              <w:t>4</w:t>
            </w:r>
            <w:r>
              <w:rPr>
                <w:rFonts w:hint="eastAsia"/>
                <w:color w:val="000000"/>
                <w:kern w:val="0"/>
                <w:sz w:val="18"/>
                <w:szCs w:val="18"/>
              </w:rPr>
              <w:t>学分）</w:t>
            </w: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军事理论</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A123001B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36</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36</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S1</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军事训练</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A123002B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112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112</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S1</w:t>
            </w:r>
          </w:p>
        </w:tc>
        <w:tc>
          <w:tcPr>
            <w:tcW w:w="486"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r>
              <w:rPr>
                <w:rFonts w:hint="eastAsia"/>
                <w:color w:val="000000"/>
                <w:kern w:val="0"/>
                <w:sz w:val="18"/>
                <w:szCs w:val="18"/>
              </w:rPr>
              <w:t>体育课（必修</w:t>
            </w:r>
            <w:r>
              <w:rPr>
                <w:color w:val="000000"/>
                <w:kern w:val="0"/>
                <w:sz w:val="18"/>
                <w:szCs w:val="18"/>
              </w:rPr>
              <w:t>4</w:t>
            </w:r>
            <w:r>
              <w:rPr>
                <w:rFonts w:hint="eastAsia"/>
                <w:color w:val="000000"/>
                <w:kern w:val="0"/>
                <w:sz w:val="18"/>
                <w:szCs w:val="18"/>
              </w:rPr>
              <w:t>学分）</w:t>
            </w: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体育Ⅰ</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A121001B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4</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28</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48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体育基础课</w:t>
            </w: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985"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体育专项课</w:t>
            </w:r>
          </w:p>
        </w:tc>
        <w:tc>
          <w:tcPr>
            <w:tcW w:w="599"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4</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28</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w:t>
            </w:r>
          </w:p>
        </w:tc>
        <w:tc>
          <w:tcPr>
            <w:tcW w:w="486"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每学期从体育专项课程类中选择一门,每学期修0.5学分</w:t>
            </w: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985"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p>
        </w:tc>
        <w:tc>
          <w:tcPr>
            <w:tcW w:w="599"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4</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28</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w:t>
            </w:r>
          </w:p>
        </w:tc>
        <w:tc>
          <w:tcPr>
            <w:tcW w:w="486"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879"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985"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p>
        </w:tc>
        <w:tc>
          <w:tcPr>
            <w:tcW w:w="599"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4</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28</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4</w:t>
            </w:r>
          </w:p>
        </w:tc>
        <w:tc>
          <w:tcPr>
            <w:tcW w:w="486"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体育健康教育与测试Ⅰ</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A121002B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8</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24</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1,2</w:t>
            </w:r>
          </w:p>
        </w:tc>
        <w:tc>
          <w:tcPr>
            <w:tcW w:w="486"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体质测试课</w:t>
            </w: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体育健康教育与测试Ⅱ</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A121003B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8</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24</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3,4</w:t>
            </w:r>
          </w:p>
        </w:tc>
        <w:tc>
          <w:tcPr>
            <w:tcW w:w="486"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体育健康教育与测试Ⅲ</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A121004B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8</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24</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5,6</w:t>
            </w:r>
          </w:p>
        </w:tc>
        <w:tc>
          <w:tcPr>
            <w:tcW w:w="486"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体育健康教育与测试Ⅳ</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A121005B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8</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24</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7,8</w:t>
            </w:r>
          </w:p>
        </w:tc>
        <w:tc>
          <w:tcPr>
            <w:tcW w:w="486"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r>
              <w:rPr>
                <w:rFonts w:hint="eastAsia"/>
                <w:color w:val="000000"/>
                <w:kern w:val="0"/>
                <w:sz w:val="18"/>
                <w:szCs w:val="18"/>
              </w:rPr>
              <w:t>通识素质教育模块（</w:t>
            </w:r>
            <w:r>
              <w:rPr>
                <w:color w:val="000000"/>
                <w:kern w:val="0"/>
                <w:sz w:val="18"/>
                <w:szCs w:val="18"/>
              </w:rPr>
              <w:t>11</w:t>
            </w:r>
            <w:r>
              <w:rPr>
                <w:rFonts w:hint="eastAsia"/>
                <w:color w:val="000000"/>
                <w:kern w:val="0"/>
                <w:sz w:val="18"/>
                <w:szCs w:val="18"/>
              </w:rPr>
              <w:t>学分）</w:t>
            </w: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大学生心理健康</w:t>
            </w:r>
          </w:p>
        </w:tc>
        <w:tc>
          <w:tcPr>
            <w:tcW w:w="599" w:type="pct"/>
            <w:tcBorders>
              <w:top w:val="single" w:color="000000" w:sz="8" w:space="0"/>
              <w:left w:val="nil"/>
              <w:bottom w:val="single" w:color="000000" w:sz="8" w:space="0"/>
              <w:right w:val="single" w:color="000000" w:sz="8" w:space="0"/>
            </w:tcBorders>
            <w:shd w:val="clear" w:color="auto" w:fill="auto"/>
            <w:noWrap/>
            <w:vAlign w:val="center"/>
          </w:tcPr>
          <w:p>
            <w:pPr>
              <w:widowControl/>
              <w:topLinePunct w:val="0"/>
              <w:adjustRightInd/>
              <w:ind w:firstLine="0"/>
              <w:jc w:val="left"/>
              <w:rPr>
                <w:kern w:val="0"/>
                <w:sz w:val="18"/>
                <w:szCs w:val="18"/>
              </w:rPr>
            </w:pPr>
            <w:r>
              <w:rPr>
                <w:kern w:val="0"/>
                <w:sz w:val="18"/>
                <w:szCs w:val="18"/>
              </w:rPr>
              <w:t>A022001B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16</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16</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48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必选</w:t>
            </w: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核心价值观与公民素养教育</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A123003B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16</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16</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48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社会素养类课程</w:t>
            </w: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学生综合素质实践</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kern w:val="0"/>
                <w:sz w:val="18"/>
                <w:szCs w:val="18"/>
              </w:rPr>
              <w:t>A123004B</w:t>
            </w: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32</w:t>
            </w: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rFonts w:hint="default" w:eastAsia="宋体"/>
                <w:kern w:val="0"/>
                <w:sz w:val="18"/>
                <w:szCs w:val="18"/>
                <w:lang w:val="en-US" w:eastAsia="zh-CN"/>
              </w:rPr>
            </w:pPr>
            <w:r>
              <w:rPr>
                <w:rFonts w:hint="eastAsia"/>
                <w:kern w:val="0"/>
                <w:sz w:val="18"/>
                <w:szCs w:val="18"/>
                <w:lang w:val="en-US" w:eastAsia="zh-CN"/>
              </w:rPr>
              <w:t>1-6</w:t>
            </w:r>
          </w:p>
        </w:tc>
        <w:tc>
          <w:tcPr>
            <w:tcW w:w="48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社会素养类课程</w:t>
            </w:r>
          </w:p>
        </w:tc>
      </w:tr>
      <w:tr>
        <w:tblPrEx>
          <w:tblCellMar>
            <w:top w:w="0" w:type="dxa"/>
            <w:left w:w="108" w:type="dxa"/>
            <w:bottom w:w="0" w:type="dxa"/>
            <w:right w:w="108" w:type="dxa"/>
          </w:tblCellMar>
        </w:tblPrEx>
        <w:trPr>
          <w:trHeight w:val="724"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美育素养类课程</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8</w:t>
            </w:r>
          </w:p>
        </w:tc>
        <w:tc>
          <w:tcPr>
            <w:tcW w:w="48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必选（艺术类专业除外）</w:t>
            </w: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人文素养类课程</w:t>
            </w:r>
          </w:p>
        </w:tc>
        <w:tc>
          <w:tcPr>
            <w:tcW w:w="599" w:type="pct"/>
            <w:tcBorders>
              <w:top w:val="single" w:color="000000" w:sz="8" w:space="0"/>
              <w:left w:val="nil"/>
              <w:bottom w:val="single" w:color="000000" w:sz="8" w:space="0"/>
              <w:right w:val="single" w:color="000000" w:sz="8" w:space="0"/>
            </w:tcBorders>
            <w:shd w:val="clear" w:color="auto" w:fill="auto"/>
            <w:noWrap/>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1，7，8</w:t>
            </w:r>
          </w:p>
        </w:tc>
        <w:tc>
          <w:tcPr>
            <w:tcW w:w="486" w:type="pct"/>
            <w:tcBorders>
              <w:top w:val="single" w:color="000000" w:sz="8" w:space="0"/>
              <w:left w:val="nil"/>
              <w:bottom w:val="single" w:color="000000" w:sz="8" w:space="0"/>
              <w:right w:val="single" w:color="000000" w:sz="8" w:space="0"/>
            </w:tcBorders>
            <w:shd w:val="clear" w:color="auto" w:fill="auto"/>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科学素养类课程</w:t>
            </w:r>
          </w:p>
        </w:tc>
        <w:tc>
          <w:tcPr>
            <w:tcW w:w="599" w:type="pct"/>
            <w:tcBorders>
              <w:top w:val="single" w:color="000000" w:sz="8" w:space="0"/>
              <w:left w:val="nil"/>
              <w:bottom w:val="single" w:color="000000" w:sz="8" w:space="0"/>
              <w:right w:val="single" w:color="000000" w:sz="8" w:space="0"/>
            </w:tcBorders>
            <w:shd w:val="clear" w:color="auto" w:fill="auto"/>
            <w:noWrap/>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7，8</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工程素养类课程</w:t>
            </w:r>
          </w:p>
        </w:tc>
        <w:tc>
          <w:tcPr>
            <w:tcW w:w="599" w:type="pct"/>
            <w:tcBorders>
              <w:top w:val="single" w:color="000000" w:sz="8" w:space="0"/>
              <w:left w:val="nil"/>
              <w:bottom w:val="single" w:color="000000" w:sz="8" w:space="0"/>
              <w:right w:val="single" w:color="000000" w:sz="8" w:space="0"/>
            </w:tcBorders>
            <w:shd w:val="clear" w:color="auto" w:fill="auto"/>
            <w:noWrap/>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8</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创新创业素养类课程</w:t>
            </w:r>
          </w:p>
        </w:tc>
        <w:tc>
          <w:tcPr>
            <w:tcW w:w="599" w:type="pct"/>
            <w:tcBorders>
              <w:top w:val="single" w:color="000000" w:sz="8" w:space="0"/>
              <w:left w:val="nil"/>
              <w:bottom w:val="single" w:color="000000" w:sz="8" w:space="0"/>
              <w:right w:val="single" w:color="000000" w:sz="8" w:space="0"/>
            </w:tcBorders>
            <w:shd w:val="clear" w:color="auto" w:fill="auto"/>
            <w:noWrap/>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3-6，10</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left"/>
              <w:rPr>
                <w:kern w:val="0"/>
                <w:sz w:val="18"/>
                <w:szCs w:val="18"/>
              </w:rPr>
            </w:pPr>
            <w:r>
              <w:rPr>
                <w:rFonts w:hint="eastAsia"/>
                <w:kern w:val="0"/>
                <w:sz w:val="18"/>
                <w:szCs w:val="18"/>
              </w:rPr>
              <w:t>轨道交通特色类课程</w:t>
            </w:r>
          </w:p>
        </w:tc>
        <w:tc>
          <w:tcPr>
            <w:tcW w:w="599" w:type="pct"/>
            <w:tcBorders>
              <w:top w:val="single" w:color="000000" w:sz="8" w:space="0"/>
              <w:left w:val="nil"/>
              <w:bottom w:val="single" w:color="000000" w:sz="8" w:space="0"/>
              <w:right w:val="single" w:color="000000" w:sz="8" w:space="0"/>
            </w:tcBorders>
            <w:shd w:val="clear" w:color="auto" w:fill="auto"/>
            <w:noWrap/>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06"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87"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p>
        </w:tc>
        <w:tc>
          <w:tcPr>
            <w:tcW w:w="323" w:type="pct"/>
            <w:tcBorders>
              <w:top w:val="single" w:color="000000" w:sz="8" w:space="0"/>
              <w:left w:val="nil"/>
              <w:bottom w:val="single" w:color="000000" w:sz="8" w:space="0"/>
              <w:right w:val="single" w:color="000000" w:sz="8" w:space="0"/>
            </w:tcBorders>
            <w:shd w:val="clear" w:color="auto" w:fill="auto"/>
            <w:vAlign w:val="center"/>
          </w:tcPr>
          <w:p>
            <w:pPr>
              <w:widowControl/>
              <w:topLinePunct w:val="0"/>
              <w:adjustRightInd/>
              <w:ind w:firstLine="0"/>
              <w:jc w:val="center"/>
              <w:rPr>
                <w:kern w:val="0"/>
                <w:sz w:val="18"/>
                <w:szCs w:val="18"/>
              </w:rPr>
            </w:pPr>
            <w:r>
              <w:rPr>
                <w:rFonts w:hint="eastAsia"/>
                <w:kern w:val="0"/>
                <w:sz w:val="18"/>
                <w:szCs w:val="18"/>
              </w:rPr>
              <w:t>1，6，9</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1080" w:hRule="atLeast"/>
        </w:trPr>
        <w:tc>
          <w:tcPr>
            <w:tcW w:w="432"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firstLine="0"/>
              <w:textAlignment w:val="center"/>
              <w:rPr>
                <w:rFonts w:cs="宋体"/>
                <w:sz w:val="18"/>
                <w:szCs w:val="18"/>
              </w:rPr>
            </w:pPr>
            <w:r>
              <w:rPr>
                <w:rFonts w:hint="eastAsia" w:cs="宋体"/>
                <w:kern w:val="0"/>
                <w:sz w:val="18"/>
                <w:szCs w:val="18"/>
                <w:lang w:bidi="ar"/>
              </w:rPr>
              <w:t>基础能力教育平台（5</w:t>
            </w:r>
            <w:r>
              <w:rPr>
                <w:rFonts w:cs="宋体"/>
                <w:kern w:val="0"/>
                <w:sz w:val="18"/>
                <w:szCs w:val="18"/>
                <w:lang w:bidi="ar"/>
              </w:rPr>
              <w:t>2</w:t>
            </w:r>
            <w:r>
              <w:rPr>
                <w:rStyle w:val="137"/>
                <w:rFonts w:hint="default" w:ascii="Times New Roman" w:hAnsi="Times New Roman"/>
                <w:color w:val="auto"/>
                <w:sz w:val="18"/>
                <w:szCs w:val="18"/>
                <w:lang w:bidi="ar"/>
              </w:rPr>
              <w:t>学分）</w:t>
            </w:r>
          </w:p>
        </w:tc>
        <w:tc>
          <w:tcPr>
            <w:tcW w:w="368"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中文语言能力（</w:t>
            </w:r>
            <w:r>
              <w:rPr>
                <w:color w:val="000000"/>
                <w:kern w:val="0"/>
                <w:sz w:val="18"/>
                <w:szCs w:val="18"/>
              </w:rPr>
              <w:t>2学分）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科技论文写作</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C1</w:t>
            </w:r>
            <w:r>
              <w:rPr>
                <w:rFonts w:hint="eastAsia"/>
                <w:kern w:val="0"/>
                <w:sz w:val="18"/>
                <w:szCs w:val="18"/>
              </w:rPr>
              <w:t>04236B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英语语言能力（</w:t>
            </w:r>
            <w:r>
              <w:rPr>
                <w:color w:val="000000"/>
                <w:kern w:val="0"/>
                <w:sz w:val="18"/>
                <w:szCs w:val="18"/>
              </w:rPr>
              <w:t>9学分）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综合英语基础</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C112001B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9</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486" w:type="pct"/>
            <w:vMerge w:val="restar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初级综合英语</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C112002B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中级综合英语</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C112003B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1,2,3</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高级综合英语</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C112004B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1,2,3</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拓展课程1</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1,2,3</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信息能力（6</w:t>
            </w:r>
            <w:r>
              <w:rPr>
                <w:color w:val="000000"/>
                <w:kern w:val="0"/>
                <w:sz w:val="18"/>
                <w:szCs w:val="18"/>
              </w:rPr>
              <w:t>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大学计算机基础</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C102001B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C</w:t>
            </w:r>
            <w:r>
              <w:rPr>
                <w:rFonts w:hint="eastAsia"/>
                <w:kern w:val="0"/>
                <w:sz w:val="18"/>
                <w:szCs w:val="18"/>
              </w:rPr>
              <w:t>语言程序设计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C102002B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2,4</w:t>
            </w:r>
          </w:p>
        </w:tc>
        <w:tc>
          <w:tcPr>
            <w:tcW w:w="486"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二选一</w:t>
            </w: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Python</w:t>
            </w:r>
            <w:r>
              <w:rPr>
                <w:rFonts w:hint="eastAsia"/>
                <w:kern w:val="0"/>
                <w:sz w:val="18"/>
                <w:szCs w:val="18"/>
              </w:rPr>
              <w:t>语言程序设计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C104233B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人工智能基础及应用</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C104032B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highlight w:val="none"/>
              </w:rPr>
            </w:pPr>
            <w:r>
              <w:rPr>
                <w:rFonts w:hint="eastAsia"/>
                <w:color w:val="000000"/>
                <w:kern w:val="0"/>
                <w:sz w:val="18"/>
                <w:szCs w:val="18"/>
                <w:highlight w:val="none"/>
              </w:rPr>
              <w:t>数学能力（</w:t>
            </w:r>
            <w:r>
              <w:rPr>
                <w:color w:val="000000"/>
                <w:kern w:val="0"/>
                <w:sz w:val="18"/>
                <w:szCs w:val="18"/>
                <w:highlight w:val="none"/>
              </w:rPr>
              <w:t>33学分）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highlight w:val="none"/>
              </w:rPr>
            </w:pPr>
            <w:r>
              <w:rPr>
                <w:rFonts w:hint="eastAsia"/>
                <w:kern w:val="0"/>
                <w:sz w:val="18"/>
                <w:szCs w:val="18"/>
                <w:highlight w:val="none"/>
              </w:rPr>
              <w:t>工科数学分析（A）I</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highlight w:val="none"/>
              </w:rPr>
            </w:pPr>
            <w:r>
              <w:rPr>
                <w:rFonts w:hint="eastAsia"/>
                <w:kern w:val="0"/>
                <w:sz w:val="18"/>
                <w:szCs w:val="18"/>
                <w:highlight w:val="none"/>
              </w:rPr>
              <w:t>C108020B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kern w:val="0"/>
                <w:sz w:val="18"/>
                <w:szCs w:val="18"/>
                <w:highlight w:val="none"/>
              </w:rPr>
              <w:t>7</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112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112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1</w:t>
            </w:r>
          </w:p>
        </w:tc>
        <w:tc>
          <w:tcPr>
            <w:tcW w:w="486" w:type="pct"/>
            <w:vMerge w:val="restart"/>
            <w:tcBorders>
              <w:top w:val="single" w:color="000000" w:sz="8" w:space="0"/>
              <w:left w:val="nil"/>
              <w:bottom w:val="single" w:color="000000" w:sz="8" w:space="0"/>
              <w:right w:val="single" w:color="000000" w:sz="8" w:space="0"/>
            </w:tcBorders>
            <w:shd w:val="clear" w:color="auto" w:fill="FFFFFF"/>
            <w:vAlign w:val="center"/>
          </w:tcPr>
          <w:p>
            <w:pPr>
              <w:jc w:val="center"/>
              <w:rPr>
                <w:color w:val="FF0000"/>
                <w:sz w:val="18"/>
                <w:szCs w:val="18"/>
              </w:rPr>
            </w:pP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highlight w:val="none"/>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highlight w:val="none"/>
              </w:rPr>
            </w:pPr>
            <w:r>
              <w:rPr>
                <w:rFonts w:hint="eastAsia"/>
                <w:kern w:val="0"/>
                <w:sz w:val="18"/>
                <w:szCs w:val="18"/>
                <w:highlight w:val="none"/>
              </w:rPr>
              <w:t>工科数学分析（A）II</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highlight w:val="none"/>
              </w:rPr>
            </w:pPr>
            <w:r>
              <w:rPr>
                <w:rFonts w:hint="eastAsia"/>
                <w:kern w:val="0"/>
                <w:sz w:val="18"/>
                <w:szCs w:val="18"/>
                <w:highlight w:val="none"/>
              </w:rPr>
              <w:t>C108021B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kern w:val="0"/>
                <w:sz w:val="18"/>
                <w:szCs w:val="18"/>
                <w:highlight w:val="none"/>
              </w:rPr>
              <w:t>7</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112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112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2</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FF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highlight w:val="none"/>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highlight w:val="none"/>
              </w:rPr>
            </w:pPr>
            <w:r>
              <w:rPr>
                <w:rFonts w:hint="eastAsia"/>
                <w:kern w:val="0"/>
                <w:sz w:val="18"/>
                <w:szCs w:val="18"/>
                <w:highlight w:val="none"/>
              </w:rPr>
              <w:t>高等代数I</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highlight w:val="none"/>
              </w:rPr>
            </w:pPr>
            <w:r>
              <w:rPr>
                <w:rFonts w:hint="eastAsia"/>
                <w:kern w:val="0"/>
                <w:sz w:val="18"/>
                <w:szCs w:val="18"/>
                <w:highlight w:val="none"/>
              </w:rPr>
              <w:t>M208002B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kern w:val="0"/>
                <w:sz w:val="18"/>
                <w:szCs w:val="18"/>
                <w:highlight w:val="none"/>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64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kern w:val="0"/>
                <w:sz w:val="18"/>
                <w:szCs w:val="18"/>
                <w:highlight w:val="none"/>
              </w:rPr>
              <w:t>1</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FF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highlight w:val="none"/>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highlight w:val="none"/>
              </w:rPr>
            </w:pPr>
            <w:r>
              <w:rPr>
                <w:rFonts w:hint="eastAsia"/>
                <w:kern w:val="0"/>
                <w:sz w:val="18"/>
                <w:szCs w:val="18"/>
                <w:highlight w:val="none"/>
              </w:rPr>
              <w:t>高等代数II</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highlight w:val="none"/>
              </w:rPr>
            </w:pPr>
            <w:r>
              <w:rPr>
                <w:rFonts w:hint="eastAsia"/>
                <w:kern w:val="0"/>
                <w:sz w:val="18"/>
                <w:szCs w:val="18"/>
                <w:highlight w:val="none"/>
              </w:rPr>
              <w:t>M208005B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kern w:val="0"/>
                <w:sz w:val="18"/>
                <w:szCs w:val="18"/>
                <w:highlight w:val="none"/>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64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2</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FF0000"/>
                <w:sz w:val="18"/>
                <w:szCs w:val="18"/>
              </w:rPr>
            </w:pPr>
          </w:p>
          <w:p>
            <w:pPr>
              <w:jc w:val="center"/>
              <w:rPr>
                <w:color w:val="FF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highlight w:val="none"/>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highlight w:val="none"/>
              </w:rPr>
            </w:pPr>
            <w:r>
              <w:rPr>
                <w:rFonts w:hint="eastAsia"/>
                <w:kern w:val="0"/>
                <w:sz w:val="18"/>
                <w:szCs w:val="18"/>
                <w:highlight w:val="none"/>
              </w:rPr>
              <w:t>数理统计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highlight w:val="none"/>
              </w:rPr>
            </w:pPr>
            <w:r>
              <w:rPr>
                <w:rFonts w:hint="eastAsia"/>
                <w:kern w:val="0"/>
                <w:sz w:val="18"/>
                <w:szCs w:val="18"/>
                <w:highlight w:val="none"/>
              </w:rPr>
              <w:t>M308007B</w:t>
            </w:r>
          </w:p>
        </w:tc>
        <w:tc>
          <w:tcPr>
            <w:tcW w:w="252" w:type="pct"/>
            <w:tcBorders>
              <w:top w:val="single" w:color="000000" w:sz="8" w:space="0"/>
              <w:left w:val="nil"/>
              <w:bottom w:val="single" w:color="000000" w:sz="8" w:space="0"/>
              <w:right w:val="single" w:color="000000" w:sz="8" w:space="0"/>
            </w:tcBorders>
            <w:shd w:val="clear" w:color="auto" w:fill="FFFFFF"/>
          </w:tcPr>
          <w:p>
            <w:pPr>
              <w:widowControl/>
              <w:topLinePunct w:val="0"/>
              <w:adjustRightInd/>
              <w:ind w:firstLine="0"/>
              <w:jc w:val="center"/>
              <w:rPr>
                <w:kern w:val="0"/>
                <w:sz w:val="18"/>
                <w:szCs w:val="18"/>
                <w:highlight w:val="none"/>
              </w:rPr>
            </w:pPr>
            <w:r>
              <w:rPr>
                <w:rFonts w:hint="eastAsia"/>
                <w:kern w:val="0"/>
                <w:sz w:val="18"/>
                <w:szCs w:val="18"/>
                <w:highlight w:val="none"/>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64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FF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highlight w:val="none"/>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highlight w:val="none"/>
              </w:rPr>
            </w:pPr>
            <w:r>
              <w:rPr>
                <w:rFonts w:hint="eastAsia"/>
                <w:kern w:val="0"/>
                <w:sz w:val="18"/>
                <w:szCs w:val="18"/>
                <w:highlight w:val="none"/>
              </w:rPr>
              <w:t>概率论</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highlight w:val="none"/>
              </w:rPr>
            </w:pPr>
            <w:r>
              <w:rPr>
                <w:rFonts w:hint="eastAsia"/>
                <w:kern w:val="0"/>
                <w:sz w:val="18"/>
                <w:szCs w:val="18"/>
                <w:highlight w:val="none"/>
              </w:rPr>
              <w:t>M308004B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64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FF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highlight w:val="none"/>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highlight w:val="none"/>
              </w:rPr>
            </w:pPr>
            <w:r>
              <w:rPr>
                <w:rFonts w:hint="eastAsia"/>
                <w:kern w:val="0"/>
                <w:sz w:val="18"/>
                <w:szCs w:val="18"/>
                <w:highlight w:val="none"/>
              </w:rPr>
              <w:t>常微分方程</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highlight w:val="none"/>
              </w:rPr>
            </w:pPr>
            <w:r>
              <w:rPr>
                <w:rFonts w:hint="eastAsia"/>
                <w:kern w:val="0"/>
                <w:sz w:val="18"/>
                <w:szCs w:val="18"/>
                <w:highlight w:val="none"/>
              </w:rPr>
              <w:t>M308001B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none"/>
              </w:rPr>
            </w:pPr>
            <w:r>
              <w:rPr>
                <w:rFonts w:hint="eastAsia"/>
                <w:kern w:val="0"/>
                <w:sz w:val="18"/>
                <w:szCs w:val="18"/>
                <w:highlight w:val="none"/>
              </w:rPr>
              <w:t>3</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FF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设计能力（</w:t>
            </w:r>
            <w:r>
              <w:rPr>
                <w:color w:val="000000"/>
                <w:kern w:val="0"/>
                <w:sz w:val="18"/>
                <w:szCs w:val="18"/>
              </w:rPr>
              <w:t>2学分）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艺术与科学</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C111002B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大学美育实践</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A011009B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r>
              <w:rPr>
                <w:kern w:val="0"/>
                <w:sz w:val="18"/>
                <w:szCs w:val="18"/>
              </w:rPr>
              <w:t>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r>
              <w:rPr>
                <w:kern w:val="0"/>
                <w:sz w:val="18"/>
                <w:szCs w:val="18"/>
              </w:rPr>
              <w:t>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r>
              <w:rPr>
                <w:kern w:val="0"/>
                <w:sz w:val="18"/>
                <w:szCs w:val="18"/>
              </w:rPr>
              <w:t>-8</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媒体与交互设计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C211003B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restart"/>
            <w:tcBorders>
              <w:top w:val="single" w:color="000000" w:sz="8" w:space="0"/>
              <w:left w:val="single" w:color="000000" w:sz="8" w:space="0"/>
              <w:right w:val="single" w:color="000000" w:sz="8" w:space="0"/>
            </w:tcBorders>
            <w:shd w:val="clear" w:color="auto" w:fill="FFFFFF"/>
            <w:vAlign w:val="center"/>
          </w:tcPr>
          <w:p>
            <w:pPr>
              <w:widowControl/>
              <w:ind w:firstLine="0"/>
              <w:textAlignment w:val="center"/>
              <w:rPr>
                <w:rFonts w:cs="宋体"/>
                <w:sz w:val="18"/>
                <w:szCs w:val="18"/>
              </w:rPr>
            </w:pPr>
            <w:r>
              <w:rPr>
                <w:rFonts w:hint="eastAsia" w:cs="宋体"/>
                <w:kern w:val="0"/>
                <w:sz w:val="18"/>
                <w:szCs w:val="18"/>
                <w:lang w:bidi="ar"/>
              </w:rPr>
              <w:t>专业教育平台（</w:t>
            </w:r>
            <w:r>
              <w:rPr>
                <w:rFonts w:cs="宋体"/>
                <w:kern w:val="0"/>
                <w:sz w:val="18"/>
                <w:szCs w:val="18"/>
                <w:lang w:bidi="ar"/>
              </w:rPr>
              <w:t>72</w:t>
            </w:r>
            <w:r>
              <w:rPr>
                <w:rFonts w:hint="eastAsia" w:cs="宋体"/>
                <w:kern w:val="0"/>
                <w:sz w:val="20"/>
                <w:szCs w:val="18"/>
              </w:rPr>
              <w:t>学分</w:t>
            </w:r>
            <w:r>
              <w:rPr>
                <w:rFonts w:hint="eastAsia" w:cs="宋体"/>
                <w:kern w:val="0"/>
                <w:sz w:val="18"/>
                <w:szCs w:val="18"/>
                <w:lang w:bidi="ar"/>
              </w:rPr>
              <w:t>）</w:t>
            </w:r>
          </w:p>
        </w:tc>
        <w:tc>
          <w:tcPr>
            <w:tcW w:w="368"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学科基础课程（</w:t>
            </w:r>
            <w:r>
              <w:rPr>
                <w:kern w:val="0"/>
                <w:sz w:val="18"/>
                <w:szCs w:val="18"/>
              </w:rPr>
              <w:t>19学分）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大学物理(A)I</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M108001B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486"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大学物理(A)II</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M108002B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物理实验Ⅰ</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M108003B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物理实验Ⅱ</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M108004B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交通运输大类专业导论</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M204043B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电工技术</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M107011B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26</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工程测量</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M205020B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工程力学(D)</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M305024B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58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专业基础必修课程（16</w:t>
            </w:r>
            <w:r>
              <w:rPr>
                <w:kern w:val="0"/>
                <w:sz w:val="18"/>
                <w:szCs w:val="18"/>
              </w:rPr>
              <w:t>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管理运筹学</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C104033B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486"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交通运输设备</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M304077B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486" w:type="pct"/>
            <w:vMerge w:val="continue"/>
            <w:tcBorders>
              <w:left w:val="nil"/>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综合交通规划与设计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M304071B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交通运输经济学A</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M304075B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14</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运输组织学</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M304095B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专业核心必修课程（</w:t>
            </w:r>
            <w:r>
              <w:rPr>
                <w:kern w:val="0"/>
                <w:sz w:val="18"/>
                <w:szCs w:val="18"/>
              </w:rPr>
              <w:t>27学分）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铁路行车组织</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M304083B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铁路站场与枢纽</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M304087B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铁路货运组织与技术</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M304085B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铁路旅客运输</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M304086B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数值计算</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M308005B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p>
        </w:tc>
        <w:tc>
          <w:tcPr>
            <w:tcW w:w="486"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数据结构与算法</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M308003B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p>
        </w:tc>
        <w:tc>
          <w:tcPr>
            <w:tcW w:w="486"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信息与编码</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M308010B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64</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专业拓展选修课程（</w:t>
            </w:r>
            <w:r>
              <w:rPr>
                <w:color w:val="000000"/>
                <w:kern w:val="0"/>
                <w:sz w:val="18"/>
                <w:szCs w:val="18"/>
              </w:rPr>
              <w:t>1</w:t>
            </w:r>
            <w:r>
              <w:rPr>
                <w:rFonts w:hint="eastAsia"/>
                <w:color w:val="000000"/>
                <w:kern w:val="0"/>
                <w:sz w:val="18"/>
                <w:szCs w:val="18"/>
              </w:rPr>
              <w:t>0</w:t>
            </w:r>
            <w:r>
              <w:rPr>
                <w:color w:val="000000"/>
                <w:kern w:val="0"/>
                <w:sz w:val="18"/>
                <w:szCs w:val="18"/>
              </w:rPr>
              <w:t>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操作系统</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M404100B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最优化理论与算法</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M408006B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统计机器学习方法</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M408009B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7</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图论与网络</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M408004B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图像处理基础</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M408003B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图像重建的数学方法</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M408008B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复变函数</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M308006B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48</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人工智能基础及应用</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C104032B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highlight w:val="yellow"/>
              </w:rPr>
            </w:pPr>
          </w:p>
        </w:tc>
      </w:tr>
      <w:tr>
        <w:tblPrEx>
          <w:tblCellMar>
            <w:top w:w="0" w:type="dxa"/>
            <w:left w:w="108" w:type="dxa"/>
            <w:bottom w:w="0" w:type="dxa"/>
            <w:right w:w="108" w:type="dxa"/>
          </w:tblCellMar>
        </w:tblPrEx>
        <w:trPr>
          <w:trHeight w:val="546"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城市综合交通发展与土地利用（英文）</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M404106B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交通专业软件及其应用</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M404146B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列车运行计算原理</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M404148B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交通安全工程B</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M404132B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交通化学与危险品运输</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M404137B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rFonts w:hint="eastAsia" w:eastAsia="宋体"/>
                <w:kern w:val="0"/>
                <w:sz w:val="18"/>
                <w:szCs w:val="18"/>
                <w:lang w:eastAsia="zh-CN"/>
              </w:rPr>
            </w:pPr>
            <w:r>
              <w:rPr>
                <w:rFonts w:hint="eastAsia"/>
                <w:kern w:val="0"/>
                <w:sz w:val="18"/>
                <w:szCs w:val="18"/>
                <w:lang w:val="en-US" w:eastAsia="zh-CN"/>
              </w:rPr>
              <w:t>6</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市郊运输技术</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M404156B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重载运输技术基础</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M404174B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集装箱运输与多式联运B</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M404131B</w:t>
            </w:r>
          </w:p>
        </w:tc>
        <w:tc>
          <w:tcPr>
            <w:tcW w:w="252"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noWrap/>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运输市场营销</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M404170B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交通运输政策法规</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M404144B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7</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铁路技规导读</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M404159B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7</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铁路运营指标分析</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M404162B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7</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交通运输自动控制原理</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M404145B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R语言数据挖掘与分析实战</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M404098B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16</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4</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交通检测与物联网技术</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M404139B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微机原理与接口技术</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M404163B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交通大数据与分布式计算技术</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rFonts w:hint="eastAsia"/>
                <w:kern w:val="0"/>
                <w:sz w:val="18"/>
                <w:szCs w:val="18"/>
              </w:rPr>
              <w:t>M404133B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选修</w:t>
            </w:r>
          </w:p>
        </w:tc>
        <w:tc>
          <w:tcPr>
            <w:tcW w:w="41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百分制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24</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6</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1258" w:hRule="atLeast"/>
        </w:trPr>
        <w:tc>
          <w:tcPr>
            <w:tcW w:w="432"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firstLine="0"/>
              <w:textAlignment w:val="center"/>
              <w:rPr>
                <w:rFonts w:cs="宋体"/>
                <w:color w:val="000000"/>
                <w:sz w:val="18"/>
                <w:szCs w:val="18"/>
              </w:rPr>
            </w:pPr>
            <w:r>
              <w:rPr>
                <w:rFonts w:hint="eastAsia" w:cs="宋体"/>
                <w:color w:val="000000"/>
                <w:kern w:val="0"/>
                <w:sz w:val="18"/>
                <w:szCs w:val="18"/>
                <w:lang w:bidi="ar"/>
              </w:rPr>
              <w:t>创新实践平台</w:t>
            </w:r>
            <w:r>
              <w:rPr>
                <w:rFonts w:hint="eastAsia" w:cs="宋体"/>
                <w:kern w:val="0"/>
                <w:sz w:val="18"/>
                <w:szCs w:val="18"/>
                <w:lang w:bidi="ar"/>
              </w:rPr>
              <w:t>（</w:t>
            </w:r>
            <w:r>
              <w:rPr>
                <w:rStyle w:val="136"/>
                <w:color w:val="auto"/>
                <w:sz w:val="18"/>
                <w:szCs w:val="18"/>
                <w:lang w:bidi="ar"/>
              </w:rPr>
              <w:t>27.5</w:t>
            </w:r>
            <w:r>
              <w:rPr>
                <w:rStyle w:val="137"/>
                <w:rFonts w:hint="default" w:ascii="Times New Roman" w:hAnsi="Times New Roman"/>
                <w:color w:val="auto"/>
                <w:sz w:val="18"/>
                <w:szCs w:val="18"/>
                <w:lang w:bidi="ar"/>
              </w:rPr>
              <w:t>学分）</w:t>
            </w:r>
          </w:p>
        </w:tc>
        <w:tc>
          <w:tcPr>
            <w:tcW w:w="368"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创新创业实践模块（</w:t>
            </w:r>
            <w:r>
              <w:rPr>
                <w:color w:val="000000"/>
                <w:kern w:val="0"/>
                <w:sz w:val="18"/>
                <w:szCs w:val="18"/>
              </w:rPr>
              <w:t>2学分）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大创、学科竞赛、创新实践类课程、创新创业讲座</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P132001B</w:t>
            </w:r>
            <w:r>
              <w:rPr>
                <w:rFonts w:hint="eastAsia"/>
                <w:kern w:val="0"/>
                <w:sz w:val="18"/>
                <w:szCs w:val="18"/>
              </w:rPr>
              <w:t>　</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32</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783"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劳动实践模块（</w:t>
            </w:r>
            <w:r>
              <w:rPr>
                <w:color w:val="000000"/>
                <w:kern w:val="0"/>
                <w:sz w:val="18"/>
                <w:szCs w:val="18"/>
              </w:rPr>
              <w:t>1.5学分）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测量实践</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P205008B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周</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周</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widowControl/>
              <w:ind w:firstLine="0"/>
              <w:jc w:val="center"/>
              <w:textAlignment w:val="center"/>
              <w:rPr>
                <w:rFonts w:cs="宋体"/>
                <w:color w:val="000000"/>
                <w:sz w:val="18"/>
                <w:szCs w:val="18"/>
              </w:rPr>
            </w:pPr>
          </w:p>
        </w:tc>
      </w:tr>
      <w:tr>
        <w:tblPrEx>
          <w:tblCellMar>
            <w:top w:w="0" w:type="dxa"/>
            <w:left w:w="108" w:type="dxa"/>
            <w:bottom w:w="0" w:type="dxa"/>
            <w:right w:w="108" w:type="dxa"/>
          </w:tblCellMar>
        </w:tblPrEx>
        <w:trPr>
          <w:trHeight w:val="713"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工程训练(C)</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P206003B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周</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r>
              <w:rPr>
                <w:rFonts w:hint="eastAsia"/>
                <w:kern w:val="0"/>
                <w:sz w:val="18"/>
                <w:szCs w:val="18"/>
              </w:rPr>
              <w:t>周</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3</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highlight w:val="red"/>
              </w:rPr>
            </w:pPr>
            <w:r>
              <w:rPr>
                <w:rFonts w:hint="eastAsia"/>
                <w:color w:val="000000"/>
                <w:kern w:val="0"/>
                <w:sz w:val="18"/>
                <w:szCs w:val="18"/>
              </w:rPr>
              <w:t>综合实践模块（综合专题研究、课程设计、综合实践</w:t>
            </w:r>
            <w:r>
              <w:rPr>
                <w:rFonts w:hint="eastAsia"/>
                <w:kern w:val="0"/>
                <w:sz w:val="18"/>
                <w:szCs w:val="18"/>
              </w:rPr>
              <w:t>等</w:t>
            </w:r>
            <w:r>
              <w:rPr>
                <w:kern w:val="0"/>
                <w:sz w:val="18"/>
                <w:szCs w:val="18"/>
              </w:rPr>
              <w:t>,3学</w:t>
            </w:r>
            <w:r>
              <w:rPr>
                <w:color w:val="000000"/>
                <w:kern w:val="0"/>
                <w:sz w:val="18"/>
                <w:szCs w:val="18"/>
              </w:rPr>
              <w:t>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交通运输专业前沿讲座</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P404191B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rFonts w:hint="eastAsia" w:eastAsia="宋体"/>
                <w:kern w:val="0"/>
                <w:sz w:val="18"/>
                <w:szCs w:val="18"/>
                <w:lang w:eastAsia="zh-CN"/>
              </w:rPr>
            </w:pPr>
            <w:r>
              <w:rPr>
                <w:rFonts w:hint="eastAsia"/>
                <w:kern w:val="0"/>
                <w:sz w:val="18"/>
                <w:szCs w:val="18"/>
                <w:lang w:val="en-US" w:eastAsia="zh-CN"/>
              </w:rPr>
              <w:t>3</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交通运输专业复杂工程问题研究系列讲座</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P404190B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5</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铁路客运组织综合设计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P404196B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7</w:t>
            </w:r>
          </w:p>
        </w:tc>
        <w:tc>
          <w:tcPr>
            <w:tcW w:w="486" w:type="pct"/>
            <w:vMerge w:val="restar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铁路货物运输综合设计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P404195B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7</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铁路行车组织综合设计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P404194B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7</w:t>
            </w:r>
          </w:p>
        </w:tc>
        <w:tc>
          <w:tcPr>
            <w:tcW w:w="486" w:type="pct"/>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667"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铁路站场与枢纽综合设计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P404198B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0.5</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0</w:t>
            </w: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7</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FF0000"/>
                <w:sz w:val="18"/>
                <w:szCs w:val="18"/>
                <w:highlight w:val="yellow"/>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restar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实习实训模块</w:t>
            </w:r>
            <w:r>
              <w:rPr>
                <w:color w:val="000000"/>
                <w:kern w:val="0"/>
                <w:sz w:val="18"/>
                <w:szCs w:val="18"/>
              </w:rPr>
              <w:t>(生产实习、认识实习、工程训练等，6学分)</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铁路线网与站场计算机辅助设计</w:t>
            </w:r>
          </w:p>
        </w:tc>
        <w:tc>
          <w:tcPr>
            <w:tcW w:w="599"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left"/>
              <w:rPr>
                <w:kern w:val="0"/>
                <w:sz w:val="18"/>
                <w:szCs w:val="18"/>
              </w:rPr>
            </w:pPr>
            <w:r>
              <w:rPr>
                <w:kern w:val="0"/>
                <w:sz w:val="18"/>
                <w:szCs w:val="18"/>
              </w:rPr>
              <w:t>P404197B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r>
              <w:rPr>
                <w:rFonts w:hint="eastAsia"/>
                <w:kern w:val="0"/>
                <w:sz w:val="18"/>
                <w:szCs w:val="18"/>
              </w:rPr>
              <w:t>周</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r>
              <w:rPr>
                <w:rFonts w:hint="eastAsia"/>
                <w:kern w:val="0"/>
                <w:sz w:val="18"/>
                <w:szCs w:val="18"/>
              </w:rPr>
              <w:t>周</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7</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铁路运输认知实习</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P404221B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r>
              <w:rPr>
                <w:rFonts w:hint="eastAsia"/>
                <w:kern w:val="0"/>
                <w:sz w:val="18"/>
                <w:szCs w:val="18"/>
              </w:rPr>
              <w:t>周</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r>
              <w:rPr>
                <w:rFonts w:hint="eastAsia"/>
                <w:kern w:val="0"/>
                <w:sz w:val="18"/>
                <w:szCs w:val="18"/>
              </w:rPr>
              <w:t>周</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S2</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68"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铁路运输生产实习</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P404222B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2</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r>
              <w:rPr>
                <w:rFonts w:hint="eastAsia"/>
                <w:kern w:val="0"/>
                <w:sz w:val="18"/>
                <w:szCs w:val="18"/>
              </w:rPr>
              <w:t>周</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r>
              <w:rPr>
                <w:rFonts w:hint="eastAsia"/>
                <w:kern w:val="0"/>
                <w:sz w:val="18"/>
                <w:szCs w:val="18"/>
              </w:rPr>
              <w:t>周</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S3</w:t>
            </w:r>
          </w:p>
        </w:tc>
        <w:tc>
          <w:tcPr>
            <w:tcW w:w="486" w:type="pct"/>
            <w:tcBorders>
              <w:top w:val="single" w:color="000000" w:sz="8" w:space="0"/>
              <w:left w:val="nil"/>
              <w:bottom w:val="single" w:color="000000" w:sz="8" w:space="0"/>
              <w:right w:val="single" w:color="000000" w:sz="8" w:space="0"/>
            </w:tcBorders>
            <w:shd w:val="clear" w:color="auto" w:fill="FFFFFF"/>
            <w:vAlign w:val="bottom"/>
          </w:tcPr>
          <w:p>
            <w:pPr>
              <w:jc w:val="center"/>
              <w:rPr>
                <w:color w:val="000000"/>
                <w:sz w:val="18"/>
                <w:szCs w:val="18"/>
              </w:rPr>
            </w:pPr>
          </w:p>
        </w:tc>
      </w:tr>
      <w:tr>
        <w:tblPrEx>
          <w:tblCellMar>
            <w:top w:w="0" w:type="dxa"/>
            <w:left w:w="108" w:type="dxa"/>
            <w:bottom w:w="0" w:type="dxa"/>
            <w:right w:w="108" w:type="dxa"/>
          </w:tblCellMar>
        </w:tblPrEx>
        <w:trPr>
          <w:trHeight w:val="54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智能运输系统设计与集成综合实验</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P404228B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3周</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3周</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S2</w:t>
            </w:r>
          </w:p>
        </w:tc>
        <w:tc>
          <w:tcPr>
            <w:tcW w:w="486" w:type="pct"/>
            <w:tcBorders>
              <w:top w:val="single" w:color="000000" w:sz="8" w:space="0"/>
              <w:left w:val="nil"/>
              <w:bottom w:val="single" w:color="000000" w:sz="8" w:space="0"/>
              <w:right w:val="single" w:color="000000" w:sz="8" w:space="0"/>
            </w:tcBorders>
            <w:shd w:val="clear" w:color="auto" w:fill="FFFFFF"/>
            <w:vAlign w:val="bottom"/>
          </w:tcPr>
          <w:p>
            <w:pPr>
              <w:jc w:val="center"/>
              <w:rPr>
                <w:color w:val="000000"/>
                <w:sz w:val="18"/>
                <w:szCs w:val="18"/>
              </w:rPr>
            </w:pPr>
          </w:p>
        </w:tc>
      </w:tr>
      <w:tr>
        <w:tblPrEx>
          <w:tblCellMar>
            <w:top w:w="0" w:type="dxa"/>
            <w:left w:w="108" w:type="dxa"/>
            <w:bottom w:w="0" w:type="dxa"/>
            <w:right w:w="108" w:type="dxa"/>
          </w:tblCellMar>
        </w:tblPrEx>
        <w:trPr>
          <w:trHeight w:val="856"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vMerge w:val="continue"/>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铁路运输综合实验</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P404223B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r>
              <w:rPr>
                <w:rFonts w:hint="eastAsia"/>
                <w:kern w:val="0"/>
                <w:sz w:val="18"/>
                <w:szCs w:val="18"/>
              </w:rPr>
              <w:t>周</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4</w:t>
            </w:r>
            <w:r>
              <w:rPr>
                <w:rFonts w:hint="eastAsia"/>
                <w:kern w:val="0"/>
                <w:sz w:val="18"/>
                <w:szCs w:val="18"/>
              </w:rPr>
              <w:t>周</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S3</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color w:val="000000"/>
                <w:sz w:val="18"/>
                <w:szCs w:val="18"/>
              </w:rPr>
            </w:pPr>
          </w:p>
        </w:tc>
      </w:tr>
      <w:tr>
        <w:tblPrEx>
          <w:tblCellMar>
            <w:top w:w="0" w:type="dxa"/>
            <w:left w:w="108" w:type="dxa"/>
            <w:bottom w:w="0" w:type="dxa"/>
            <w:right w:w="108" w:type="dxa"/>
          </w:tblCellMar>
        </w:tblPrEx>
        <w:trPr>
          <w:trHeight w:val="379" w:hRule="atLeast"/>
        </w:trPr>
        <w:tc>
          <w:tcPr>
            <w:tcW w:w="432"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宋体"/>
                <w:color w:val="000000"/>
                <w:sz w:val="18"/>
                <w:szCs w:val="18"/>
              </w:rPr>
            </w:pPr>
          </w:p>
        </w:tc>
        <w:tc>
          <w:tcPr>
            <w:tcW w:w="368"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color w:val="000000"/>
                <w:kern w:val="0"/>
                <w:sz w:val="18"/>
                <w:szCs w:val="18"/>
              </w:rPr>
            </w:pPr>
            <w:r>
              <w:rPr>
                <w:rFonts w:hint="eastAsia"/>
                <w:color w:val="000000"/>
                <w:kern w:val="0"/>
                <w:sz w:val="18"/>
                <w:szCs w:val="18"/>
              </w:rPr>
              <w:t>毕业设计模块</w:t>
            </w:r>
          </w:p>
        </w:tc>
        <w:tc>
          <w:tcPr>
            <w:tcW w:w="985"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rFonts w:hint="eastAsia"/>
                <w:kern w:val="0"/>
                <w:sz w:val="18"/>
                <w:szCs w:val="18"/>
              </w:rPr>
              <w:t>毕业设计</w:t>
            </w:r>
          </w:p>
        </w:tc>
        <w:tc>
          <w:tcPr>
            <w:tcW w:w="59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left"/>
              <w:rPr>
                <w:kern w:val="0"/>
                <w:sz w:val="18"/>
                <w:szCs w:val="18"/>
              </w:rPr>
            </w:pPr>
            <w:r>
              <w:rPr>
                <w:kern w:val="0"/>
                <w:sz w:val="18"/>
                <w:szCs w:val="18"/>
              </w:rPr>
              <w:t>P404229B</w:t>
            </w:r>
          </w:p>
        </w:tc>
        <w:tc>
          <w:tcPr>
            <w:tcW w:w="252"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rFonts w:hint="eastAsia"/>
                <w:kern w:val="0"/>
                <w:sz w:val="18"/>
                <w:szCs w:val="18"/>
              </w:rPr>
              <w:t>必修</w:t>
            </w:r>
          </w:p>
        </w:tc>
        <w:tc>
          <w:tcPr>
            <w:tcW w:w="415" w:type="pct"/>
            <w:tcBorders>
              <w:top w:val="single" w:color="000000" w:sz="8" w:space="0"/>
              <w:left w:val="nil"/>
              <w:bottom w:val="single" w:color="000000" w:sz="8" w:space="0"/>
              <w:right w:val="single" w:color="000000" w:sz="8" w:space="0"/>
            </w:tcBorders>
            <w:shd w:val="clear" w:color="auto" w:fill="FFFFFF"/>
            <w:noWrap/>
            <w:vAlign w:val="center"/>
          </w:tcPr>
          <w:p>
            <w:pPr>
              <w:widowControl/>
              <w:topLinePunct w:val="0"/>
              <w:adjustRightInd/>
              <w:ind w:firstLine="0"/>
              <w:jc w:val="center"/>
              <w:rPr>
                <w:kern w:val="0"/>
                <w:sz w:val="18"/>
                <w:szCs w:val="18"/>
              </w:rPr>
            </w:pPr>
            <w:r>
              <w:rPr>
                <w:rFonts w:hint="eastAsia"/>
                <w:kern w:val="0"/>
                <w:sz w:val="18"/>
                <w:szCs w:val="18"/>
              </w:rPr>
              <w:t>五级制</w:t>
            </w:r>
          </w:p>
        </w:tc>
        <w:tc>
          <w:tcPr>
            <w:tcW w:w="306"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15</w:t>
            </w:r>
          </w:p>
        </w:tc>
        <w:tc>
          <w:tcPr>
            <w:tcW w:w="281"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r>
              <w:rPr>
                <w:rFonts w:hint="eastAsia"/>
                <w:kern w:val="0"/>
                <w:sz w:val="18"/>
                <w:szCs w:val="18"/>
              </w:rPr>
              <w:t>周</w:t>
            </w:r>
          </w:p>
        </w:tc>
        <w:tc>
          <w:tcPr>
            <w:tcW w:w="287"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p>
        </w:tc>
        <w:tc>
          <w:tcPr>
            <w:tcW w:w="259"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16</w:t>
            </w:r>
            <w:r>
              <w:rPr>
                <w:rFonts w:hint="eastAsia"/>
                <w:kern w:val="0"/>
                <w:sz w:val="18"/>
                <w:szCs w:val="18"/>
              </w:rPr>
              <w:t>周</w:t>
            </w:r>
          </w:p>
        </w:tc>
        <w:tc>
          <w:tcPr>
            <w:tcW w:w="323" w:type="pct"/>
            <w:tcBorders>
              <w:top w:val="single" w:color="000000" w:sz="8" w:space="0"/>
              <w:left w:val="nil"/>
              <w:bottom w:val="single" w:color="000000" w:sz="8" w:space="0"/>
              <w:right w:val="single" w:color="000000" w:sz="8" w:space="0"/>
            </w:tcBorders>
            <w:shd w:val="clear" w:color="auto" w:fill="FFFFFF"/>
            <w:vAlign w:val="center"/>
          </w:tcPr>
          <w:p>
            <w:pPr>
              <w:widowControl/>
              <w:topLinePunct w:val="0"/>
              <w:adjustRightInd/>
              <w:ind w:firstLine="0"/>
              <w:jc w:val="center"/>
              <w:rPr>
                <w:kern w:val="0"/>
                <w:sz w:val="18"/>
                <w:szCs w:val="18"/>
              </w:rPr>
            </w:pPr>
            <w:r>
              <w:rPr>
                <w:kern w:val="0"/>
                <w:sz w:val="18"/>
                <w:szCs w:val="18"/>
              </w:rPr>
              <w:t>8</w:t>
            </w:r>
          </w:p>
        </w:tc>
        <w:tc>
          <w:tcPr>
            <w:tcW w:w="486" w:type="pct"/>
            <w:tcBorders>
              <w:top w:val="single" w:color="000000" w:sz="8" w:space="0"/>
              <w:left w:val="nil"/>
              <w:bottom w:val="single" w:color="000000" w:sz="8" w:space="0"/>
              <w:right w:val="single" w:color="000000" w:sz="8" w:space="0"/>
            </w:tcBorders>
            <w:shd w:val="clear" w:color="auto" w:fill="FFFFFF"/>
            <w:vAlign w:val="center"/>
          </w:tcPr>
          <w:p>
            <w:pPr>
              <w:jc w:val="center"/>
              <w:rPr>
                <w:rFonts w:cs="宋体"/>
                <w:color w:val="000000"/>
                <w:sz w:val="18"/>
                <w:szCs w:val="18"/>
              </w:rPr>
            </w:pPr>
          </w:p>
        </w:tc>
      </w:tr>
    </w:tbl>
    <w:p>
      <w:pPr>
        <w:ind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MDM0Nzc5ZjQ2MDMxNTgyMjJkOTMzZDRmMjFjNmQifQ=="/>
  </w:docVars>
  <w:rsids>
    <w:rsidRoot w:val="009347B6"/>
    <w:rsid w:val="00020109"/>
    <w:rsid w:val="00026581"/>
    <w:rsid w:val="00040DA0"/>
    <w:rsid w:val="00051D7F"/>
    <w:rsid w:val="00055634"/>
    <w:rsid w:val="0006745F"/>
    <w:rsid w:val="00071199"/>
    <w:rsid w:val="00080E4D"/>
    <w:rsid w:val="000A155D"/>
    <w:rsid w:val="000A274F"/>
    <w:rsid w:val="000A50B8"/>
    <w:rsid w:val="000E29CD"/>
    <w:rsid w:val="000E7CA4"/>
    <w:rsid w:val="00104D7F"/>
    <w:rsid w:val="00107E8D"/>
    <w:rsid w:val="00112D99"/>
    <w:rsid w:val="00124FDE"/>
    <w:rsid w:val="00132466"/>
    <w:rsid w:val="0015229C"/>
    <w:rsid w:val="001836FA"/>
    <w:rsid w:val="0018496C"/>
    <w:rsid w:val="00197BBE"/>
    <w:rsid w:val="001A6223"/>
    <w:rsid w:val="001B0B3D"/>
    <w:rsid w:val="001D24B6"/>
    <w:rsid w:val="001D2620"/>
    <w:rsid w:val="001D341B"/>
    <w:rsid w:val="001D5D3F"/>
    <w:rsid w:val="001F222F"/>
    <w:rsid w:val="002159D1"/>
    <w:rsid w:val="002525A2"/>
    <w:rsid w:val="00262D27"/>
    <w:rsid w:val="0026332F"/>
    <w:rsid w:val="00263DEB"/>
    <w:rsid w:val="0027425B"/>
    <w:rsid w:val="002854DC"/>
    <w:rsid w:val="002A3575"/>
    <w:rsid w:val="002B1EE0"/>
    <w:rsid w:val="002B5052"/>
    <w:rsid w:val="002B7325"/>
    <w:rsid w:val="002C2ADD"/>
    <w:rsid w:val="002E2F8F"/>
    <w:rsid w:val="00311957"/>
    <w:rsid w:val="00312BB1"/>
    <w:rsid w:val="00313714"/>
    <w:rsid w:val="00315EF2"/>
    <w:rsid w:val="003305AC"/>
    <w:rsid w:val="00330C28"/>
    <w:rsid w:val="003315A0"/>
    <w:rsid w:val="00333A21"/>
    <w:rsid w:val="003368FC"/>
    <w:rsid w:val="00352980"/>
    <w:rsid w:val="003A277A"/>
    <w:rsid w:val="003A2A2E"/>
    <w:rsid w:val="003A7303"/>
    <w:rsid w:val="003B02F6"/>
    <w:rsid w:val="003D721D"/>
    <w:rsid w:val="003F1E0C"/>
    <w:rsid w:val="004075A5"/>
    <w:rsid w:val="00415D1A"/>
    <w:rsid w:val="00420AFF"/>
    <w:rsid w:val="00421A46"/>
    <w:rsid w:val="00432FD2"/>
    <w:rsid w:val="00462386"/>
    <w:rsid w:val="00462A6D"/>
    <w:rsid w:val="00464551"/>
    <w:rsid w:val="004764B4"/>
    <w:rsid w:val="00483DC6"/>
    <w:rsid w:val="004902B4"/>
    <w:rsid w:val="004956DD"/>
    <w:rsid w:val="004A0DF3"/>
    <w:rsid w:val="004A7E77"/>
    <w:rsid w:val="004C1BCC"/>
    <w:rsid w:val="004C2DF7"/>
    <w:rsid w:val="004D4997"/>
    <w:rsid w:val="004D5333"/>
    <w:rsid w:val="004F419D"/>
    <w:rsid w:val="00514F29"/>
    <w:rsid w:val="00515327"/>
    <w:rsid w:val="00515F8B"/>
    <w:rsid w:val="00520477"/>
    <w:rsid w:val="00551EDE"/>
    <w:rsid w:val="00564AF6"/>
    <w:rsid w:val="00566B80"/>
    <w:rsid w:val="005824D9"/>
    <w:rsid w:val="00591B0D"/>
    <w:rsid w:val="005A628F"/>
    <w:rsid w:val="005C5300"/>
    <w:rsid w:val="00633919"/>
    <w:rsid w:val="00643D32"/>
    <w:rsid w:val="00662A76"/>
    <w:rsid w:val="00666CAD"/>
    <w:rsid w:val="00675E20"/>
    <w:rsid w:val="00690ADC"/>
    <w:rsid w:val="006A6EE9"/>
    <w:rsid w:val="006D62F2"/>
    <w:rsid w:val="006E2317"/>
    <w:rsid w:val="006E3852"/>
    <w:rsid w:val="006E6D60"/>
    <w:rsid w:val="006E7204"/>
    <w:rsid w:val="00700C7F"/>
    <w:rsid w:val="00704896"/>
    <w:rsid w:val="007048F4"/>
    <w:rsid w:val="007247CF"/>
    <w:rsid w:val="00725BB2"/>
    <w:rsid w:val="0073572C"/>
    <w:rsid w:val="007768F2"/>
    <w:rsid w:val="007B1E71"/>
    <w:rsid w:val="007D57AF"/>
    <w:rsid w:val="007E3F05"/>
    <w:rsid w:val="007F1ED7"/>
    <w:rsid w:val="0082165F"/>
    <w:rsid w:val="00836C65"/>
    <w:rsid w:val="00860181"/>
    <w:rsid w:val="00863DBD"/>
    <w:rsid w:val="00867139"/>
    <w:rsid w:val="00880EA6"/>
    <w:rsid w:val="0088532F"/>
    <w:rsid w:val="0088734F"/>
    <w:rsid w:val="008A6307"/>
    <w:rsid w:val="008B2789"/>
    <w:rsid w:val="008C20EC"/>
    <w:rsid w:val="008D675B"/>
    <w:rsid w:val="009045B6"/>
    <w:rsid w:val="00924F79"/>
    <w:rsid w:val="00934778"/>
    <w:rsid w:val="009347B6"/>
    <w:rsid w:val="00935BE8"/>
    <w:rsid w:val="00951785"/>
    <w:rsid w:val="00952982"/>
    <w:rsid w:val="00974989"/>
    <w:rsid w:val="009932D7"/>
    <w:rsid w:val="00995C87"/>
    <w:rsid w:val="009A5522"/>
    <w:rsid w:val="009C4DC9"/>
    <w:rsid w:val="009C6C34"/>
    <w:rsid w:val="009D5F88"/>
    <w:rsid w:val="009F757C"/>
    <w:rsid w:val="00A121EB"/>
    <w:rsid w:val="00A15342"/>
    <w:rsid w:val="00A17CDC"/>
    <w:rsid w:val="00A21949"/>
    <w:rsid w:val="00A32B16"/>
    <w:rsid w:val="00A340ED"/>
    <w:rsid w:val="00A47704"/>
    <w:rsid w:val="00A52B54"/>
    <w:rsid w:val="00A53C33"/>
    <w:rsid w:val="00A5480B"/>
    <w:rsid w:val="00A57F0E"/>
    <w:rsid w:val="00A615AD"/>
    <w:rsid w:val="00A71158"/>
    <w:rsid w:val="00A74C9D"/>
    <w:rsid w:val="00A91310"/>
    <w:rsid w:val="00A93617"/>
    <w:rsid w:val="00AB07B2"/>
    <w:rsid w:val="00AB4F1A"/>
    <w:rsid w:val="00AB6EA2"/>
    <w:rsid w:val="00AC6234"/>
    <w:rsid w:val="00AC6B4A"/>
    <w:rsid w:val="00AD025B"/>
    <w:rsid w:val="00AD37AE"/>
    <w:rsid w:val="00AF4713"/>
    <w:rsid w:val="00B15E8F"/>
    <w:rsid w:val="00B31460"/>
    <w:rsid w:val="00B44D27"/>
    <w:rsid w:val="00B47585"/>
    <w:rsid w:val="00B54703"/>
    <w:rsid w:val="00B71D1D"/>
    <w:rsid w:val="00B90B05"/>
    <w:rsid w:val="00B90B45"/>
    <w:rsid w:val="00BA543D"/>
    <w:rsid w:val="00BA78A9"/>
    <w:rsid w:val="00BB3EC2"/>
    <w:rsid w:val="00BD03E1"/>
    <w:rsid w:val="00BD45AC"/>
    <w:rsid w:val="00BE0DB5"/>
    <w:rsid w:val="00BF1FD5"/>
    <w:rsid w:val="00BF63BC"/>
    <w:rsid w:val="00C101C9"/>
    <w:rsid w:val="00C1453E"/>
    <w:rsid w:val="00C22E0B"/>
    <w:rsid w:val="00C27E01"/>
    <w:rsid w:val="00C7428B"/>
    <w:rsid w:val="00C77C54"/>
    <w:rsid w:val="00CA2978"/>
    <w:rsid w:val="00CA2EC4"/>
    <w:rsid w:val="00CC4614"/>
    <w:rsid w:val="00CE35E2"/>
    <w:rsid w:val="00CF0A3C"/>
    <w:rsid w:val="00D01DD1"/>
    <w:rsid w:val="00D10D0A"/>
    <w:rsid w:val="00D11D1B"/>
    <w:rsid w:val="00D14D06"/>
    <w:rsid w:val="00D24DDC"/>
    <w:rsid w:val="00D26E08"/>
    <w:rsid w:val="00D339B7"/>
    <w:rsid w:val="00D4169C"/>
    <w:rsid w:val="00D41D4A"/>
    <w:rsid w:val="00D51254"/>
    <w:rsid w:val="00D52202"/>
    <w:rsid w:val="00D67723"/>
    <w:rsid w:val="00D73CBB"/>
    <w:rsid w:val="00D97E20"/>
    <w:rsid w:val="00DA3C6A"/>
    <w:rsid w:val="00DA5637"/>
    <w:rsid w:val="00DA79A2"/>
    <w:rsid w:val="00DD4B2B"/>
    <w:rsid w:val="00DE0D09"/>
    <w:rsid w:val="00DF3347"/>
    <w:rsid w:val="00E45A1B"/>
    <w:rsid w:val="00E522E1"/>
    <w:rsid w:val="00E53214"/>
    <w:rsid w:val="00E550DA"/>
    <w:rsid w:val="00E72061"/>
    <w:rsid w:val="00E8655F"/>
    <w:rsid w:val="00EA1882"/>
    <w:rsid w:val="00EB7C6F"/>
    <w:rsid w:val="00EC7CF3"/>
    <w:rsid w:val="00ED5892"/>
    <w:rsid w:val="00EE54BA"/>
    <w:rsid w:val="00F26643"/>
    <w:rsid w:val="00F42456"/>
    <w:rsid w:val="00F9647F"/>
    <w:rsid w:val="00F97EC2"/>
    <w:rsid w:val="00FA11EB"/>
    <w:rsid w:val="00FA786E"/>
    <w:rsid w:val="00FB5CDC"/>
    <w:rsid w:val="00FC4FC2"/>
    <w:rsid w:val="00FD604E"/>
    <w:rsid w:val="01AE4A44"/>
    <w:rsid w:val="02EB12E8"/>
    <w:rsid w:val="0A896598"/>
    <w:rsid w:val="0AF9186D"/>
    <w:rsid w:val="0B445C59"/>
    <w:rsid w:val="0C5B1CB2"/>
    <w:rsid w:val="12F27BB7"/>
    <w:rsid w:val="13D73775"/>
    <w:rsid w:val="15E82ACA"/>
    <w:rsid w:val="16573B76"/>
    <w:rsid w:val="178C75B2"/>
    <w:rsid w:val="296902EF"/>
    <w:rsid w:val="2C6846A7"/>
    <w:rsid w:val="2CF64A7F"/>
    <w:rsid w:val="2D7F7778"/>
    <w:rsid w:val="2F0909DA"/>
    <w:rsid w:val="2FA90012"/>
    <w:rsid w:val="325C0628"/>
    <w:rsid w:val="35D271A0"/>
    <w:rsid w:val="37A9013A"/>
    <w:rsid w:val="3E3D00CF"/>
    <w:rsid w:val="418662D0"/>
    <w:rsid w:val="45683112"/>
    <w:rsid w:val="4AD65000"/>
    <w:rsid w:val="4DD95CA1"/>
    <w:rsid w:val="4FD034F4"/>
    <w:rsid w:val="59084CED"/>
    <w:rsid w:val="5E532442"/>
    <w:rsid w:val="5F9F44AA"/>
    <w:rsid w:val="61573F13"/>
    <w:rsid w:val="61C10286"/>
    <w:rsid w:val="62154E88"/>
    <w:rsid w:val="64A47E1E"/>
    <w:rsid w:val="6BDE7075"/>
    <w:rsid w:val="6CBD4BB1"/>
    <w:rsid w:val="6D2D4154"/>
    <w:rsid w:val="742902D3"/>
    <w:rsid w:val="764E3229"/>
    <w:rsid w:val="77E149E8"/>
    <w:rsid w:val="77FB4DB0"/>
    <w:rsid w:val="78FA0A01"/>
    <w:rsid w:val="79756936"/>
    <w:rsid w:val="79EF6249"/>
    <w:rsid w:val="7B5A67BE"/>
    <w:rsid w:val="7CBA0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425"/>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8"/>
    <w:semiHidden/>
    <w:unhideWhenUsed/>
    <w:qFormat/>
    <w:uiPriority w:val="99"/>
    <w:pPr>
      <w:jc w:val="left"/>
    </w:pPr>
  </w:style>
  <w:style w:type="paragraph" w:styleId="3">
    <w:name w:val="Body Text Indent"/>
    <w:basedOn w:val="1"/>
    <w:link w:val="15"/>
    <w:qFormat/>
    <w:uiPriority w:val="0"/>
    <w:pPr>
      <w:adjustRightInd/>
      <w:spacing w:after="120"/>
      <w:ind w:left="420" w:firstLine="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topLinePunct w:val="0"/>
      <w:adjustRightInd/>
      <w:snapToGrid w:val="0"/>
      <w:ind w:firstLine="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topLinePunct w:val="0"/>
      <w:adjustRightInd/>
      <w:snapToGrid w:val="0"/>
      <w:ind w:firstLine="0"/>
      <w:jc w:val="center"/>
    </w:pPr>
    <w:rPr>
      <w:rFonts w:asciiTheme="minorHAnsi" w:hAnsiTheme="minorHAnsi" w:eastAsiaTheme="minorEastAsia" w:cstheme="minorBidi"/>
      <w:sz w:val="18"/>
      <w:szCs w:val="18"/>
    </w:rPr>
  </w:style>
  <w:style w:type="paragraph" w:styleId="7">
    <w:name w:val="annotation subject"/>
    <w:basedOn w:val="2"/>
    <w:next w:val="2"/>
    <w:link w:val="139"/>
    <w:semiHidden/>
    <w:unhideWhenUsed/>
    <w:qFormat/>
    <w:uiPriority w:val="99"/>
    <w:rPr>
      <w:b/>
      <w:bCs/>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正文文本缩进 字符"/>
    <w:basedOn w:val="9"/>
    <w:link w:val="3"/>
    <w:qFormat/>
    <w:uiPriority w:val="0"/>
    <w:rPr>
      <w:rFonts w:ascii="Times New Roman" w:hAnsi="Times New Roman" w:eastAsia="宋体" w:cs="Times New Roman"/>
      <w:szCs w:val="20"/>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 w:type="paragraph" w:customStyle="1" w:styleId="17">
    <w:name w:val="font5"/>
    <w:basedOn w:val="1"/>
    <w:qFormat/>
    <w:uiPriority w:val="0"/>
    <w:pPr>
      <w:widowControl/>
      <w:topLinePunct w:val="0"/>
      <w:adjustRightInd/>
      <w:spacing w:before="100" w:beforeAutospacing="1" w:after="100" w:afterAutospacing="1"/>
      <w:ind w:firstLine="0"/>
      <w:jc w:val="left"/>
    </w:pPr>
    <w:rPr>
      <w:rFonts w:ascii="宋体" w:hAnsi="宋体" w:cs="宋体"/>
      <w:b/>
      <w:bCs/>
      <w:color w:val="000000"/>
      <w:kern w:val="0"/>
      <w:sz w:val="20"/>
    </w:rPr>
  </w:style>
  <w:style w:type="paragraph" w:customStyle="1" w:styleId="18">
    <w:name w:val="font6"/>
    <w:basedOn w:val="1"/>
    <w:qFormat/>
    <w:uiPriority w:val="0"/>
    <w:pPr>
      <w:widowControl/>
      <w:topLinePunct w:val="0"/>
      <w:adjustRightInd/>
      <w:spacing w:before="100" w:beforeAutospacing="1" w:after="100" w:afterAutospacing="1"/>
      <w:ind w:firstLine="0"/>
      <w:jc w:val="left"/>
    </w:pPr>
    <w:rPr>
      <w:b/>
      <w:bCs/>
      <w:color w:val="000000"/>
      <w:kern w:val="0"/>
      <w:sz w:val="20"/>
    </w:rPr>
  </w:style>
  <w:style w:type="paragraph" w:customStyle="1" w:styleId="19">
    <w:name w:val="font7"/>
    <w:basedOn w:val="1"/>
    <w:qFormat/>
    <w:uiPriority w:val="0"/>
    <w:pPr>
      <w:widowControl/>
      <w:topLinePunct w:val="0"/>
      <w:adjustRightInd/>
      <w:spacing w:before="100" w:beforeAutospacing="1" w:after="100" w:afterAutospacing="1"/>
      <w:ind w:firstLine="0"/>
      <w:jc w:val="left"/>
    </w:pPr>
    <w:rPr>
      <w:rFonts w:ascii="宋体" w:hAnsi="宋体" w:cs="宋体"/>
      <w:color w:val="000000"/>
      <w:kern w:val="0"/>
      <w:sz w:val="20"/>
    </w:rPr>
  </w:style>
  <w:style w:type="paragraph" w:customStyle="1" w:styleId="20">
    <w:name w:val="font8"/>
    <w:basedOn w:val="1"/>
    <w:qFormat/>
    <w:uiPriority w:val="0"/>
    <w:pPr>
      <w:widowControl/>
      <w:topLinePunct w:val="0"/>
      <w:adjustRightInd/>
      <w:spacing w:before="100" w:beforeAutospacing="1" w:after="100" w:afterAutospacing="1"/>
      <w:ind w:firstLine="0"/>
      <w:jc w:val="left"/>
    </w:pPr>
    <w:rPr>
      <w:color w:val="000000"/>
      <w:kern w:val="0"/>
      <w:sz w:val="20"/>
    </w:rPr>
  </w:style>
  <w:style w:type="paragraph" w:customStyle="1" w:styleId="21">
    <w:name w:val="font9"/>
    <w:basedOn w:val="1"/>
    <w:qFormat/>
    <w:uiPriority w:val="0"/>
    <w:pPr>
      <w:widowControl/>
      <w:topLinePunct w:val="0"/>
      <w:adjustRightInd/>
      <w:spacing w:before="100" w:beforeAutospacing="1" w:after="100" w:afterAutospacing="1"/>
      <w:ind w:firstLine="0"/>
      <w:jc w:val="left"/>
    </w:pPr>
    <w:rPr>
      <w:rFonts w:ascii="宋体" w:hAnsi="宋体" w:cs="宋体"/>
      <w:kern w:val="0"/>
      <w:sz w:val="20"/>
    </w:rPr>
  </w:style>
  <w:style w:type="paragraph" w:customStyle="1" w:styleId="22">
    <w:name w:val="font10"/>
    <w:basedOn w:val="1"/>
    <w:qFormat/>
    <w:uiPriority w:val="0"/>
    <w:pPr>
      <w:widowControl/>
      <w:topLinePunct w:val="0"/>
      <w:adjustRightInd/>
      <w:spacing w:before="100" w:beforeAutospacing="1" w:after="100" w:afterAutospacing="1"/>
      <w:ind w:firstLine="0"/>
      <w:jc w:val="left"/>
    </w:pPr>
    <w:rPr>
      <w:rFonts w:ascii="宋体" w:hAnsi="宋体" w:cs="宋体"/>
      <w:kern w:val="0"/>
      <w:sz w:val="18"/>
      <w:szCs w:val="18"/>
    </w:rPr>
  </w:style>
  <w:style w:type="paragraph" w:customStyle="1" w:styleId="23">
    <w:name w:val="font11"/>
    <w:basedOn w:val="1"/>
    <w:qFormat/>
    <w:uiPriority w:val="0"/>
    <w:pPr>
      <w:widowControl/>
      <w:topLinePunct w:val="0"/>
      <w:adjustRightInd/>
      <w:spacing w:before="100" w:beforeAutospacing="1" w:after="100" w:afterAutospacing="1"/>
      <w:ind w:firstLine="0"/>
      <w:jc w:val="left"/>
    </w:pPr>
    <w:rPr>
      <w:kern w:val="0"/>
      <w:sz w:val="18"/>
      <w:szCs w:val="18"/>
    </w:rPr>
  </w:style>
  <w:style w:type="paragraph" w:customStyle="1" w:styleId="24">
    <w:name w:val="font12"/>
    <w:basedOn w:val="1"/>
    <w:qFormat/>
    <w:uiPriority w:val="0"/>
    <w:pPr>
      <w:widowControl/>
      <w:topLinePunct w:val="0"/>
      <w:adjustRightInd/>
      <w:spacing w:before="100" w:beforeAutospacing="1" w:after="100" w:afterAutospacing="1"/>
      <w:ind w:firstLine="0"/>
      <w:jc w:val="left"/>
    </w:pPr>
    <w:rPr>
      <w:rFonts w:ascii="宋体" w:hAnsi="宋体" w:cs="宋体"/>
      <w:b/>
      <w:bCs/>
      <w:color w:val="000000"/>
      <w:kern w:val="0"/>
      <w:sz w:val="20"/>
    </w:rPr>
  </w:style>
  <w:style w:type="paragraph" w:customStyle="1" w:styleId="25">
    <w:name w:val="font13"/>
    <w:basedOn w:val="1"/>
    <w:qFormat/>
    <w:uiPriority w:val="0"/>
    <w:pPr>
      <w:widowControl/>
      <w:topLinePunct w:val="0"/>
      <w:adjustRightInd/>
      <w:spacing w:before="100" w:beforeAutospacing="1" w:after="100" w:afterAutospacing="1"/>
      <w:ind w:firstLine="0"/>
      <w:jc w:val="left"/>
    </w:pPr>
    <w:rPr>
      <w:b/>
      <w:bCs/>
      <w:color w:val="000000"/>
      <w:kern w:val="0"/>
      <w:sz w:val="20"/>
    </w:rPr>
  </w:style>
  <w:style w:type="paragraph" w:customStyle="1" w:styleId="26">
    <w:name w:val="font14"/>
    <w:basedOn w:val="1"/>
    <w:qFormat/>
    <w:uiPriority w:val="0"/>
    <w:pPr>
      <w:widowControl/>
      <w:topLinePunct w:val="0"/>
      <w:adjustRightInd/>
      <w:spacing w:before="100" w:beforeAutospacing="1" w:after="100" w:afterAutospacing="1"/>
      <w:ind w:firstLine="0"/>
      <w:jc w:val="left"/>
    </w:pPr>
    <w:rPr>
      <w:rFonts w:ascii="宋体" w:hAnsi="宋体" w:cs="宋体"/>
      <w:color w:val="000000"/>
      <w:kern w:val="0"/>
      <w:sz w:val="20"/>
    </w:rPr>
  </w:style>
  <w:style w:type="paragraph" w:customStyle="1" w:styleId="27">
    <w:name w:val="font15"/>
    <w:basedOn w:val="1"/>
    <w:qFormat/>
    <w:uiPriority w:val="0"/>
    <w:pPr>
      <w:widowControl/>
      <w:topLinePunct w:val="0"/>
      <w:adjustRightInd/>
      <w:spacing w:before="100" w:beforeAutospacing="1" w:after="100" w:afterAutospacing="1"/>
      <w:ind w:firstLine="0"/>
      <w:jc w:val="left"/>
    </w:pPr>
    <w:rPr>
      <w:color w:val="000000"/>
      <w:kern w:val="0"/>
      <w:sz w:val="20"/>
    </w:rPr>
  </w:style>
  <w:style w:type="paragraph" w:customStyle="1" w:styleId="28">
    <w:name w:val="font16"/>
    <w:basedOn w:val="1"/>
    <w:qFormat/>
    <w:uiPriority w:val="0"/>
    <w:pPr>
      <w:widowControl/>
      <w:topLinePunct w:val="0"/>
      <w:adjustRightInd/>
      <w:spacing w:before="100" w:beforeAutospacing="1" w:after="100" w:afterAutospacing="1"/>
      <w:ind w:firstLine="0"/>
      <w:jc w:val="left"/>
    </w:pPr>
    <w:rPr>
      <w:rFonts w:ascii="宋体" w:hAnsi="宋体" w:cs="宋体"/>
      <w:b/>
      <w:bCs/>
      <w:kern w:val="0"/>
      <w:sz w:val="20"/>
    </w:rPr>
  </w:style>
  <w:style w:type="paragraph" w:customStyle="1" w:styleId="29">
    <w:name w:val="font17"/>
    <w:basedOn w:val="1"/>
    <w:qFormat/>
    <w:uiPriority w:val="0"/>
    <w:pPr>
      <w:widowControl/>
      <w:topLinePunct w:val="0"/>
      <w:adjustRightInd/>
      <w:spacing w:before="100" w:beforeAutospacing="1" w:after="100" w:afterAutospacing="1"/>
      <w:ind w:firstLine="0"/>
      <w:jc w:val="left"/>
    </w:pPr>
    <w:rPr>
      <w:rFonts w:ascii="宋体" w:hAnsi="宋体" w:cs="宋体"/>
      <w:kern w:val="0"/>
      <w:sz w:val="18"/>
      <w:szCs w:val="18"/>
    </w:rPr>
  </w:style>
  <w:style w:type="paragraph" w:customStyle="1" w:styleId="30">
    <w:name w:val="font18"/>
    <w:basedOn w:val="1"/>
    <w:qFormat/>
    <w:uiPriority w:val="0"/>
    <w:pPr>
      <w:widowControl/>
      <w:topLinePunct w:val="0"/>
      <w:adjustRightInd/>
      <w:spacing w:before="100" w:beforeAutospacing="1" w:after="100" w:afterAutospacing="1"/>
      <w:ind w:firstLine="0"/>
      <w:jc w:val="left"/>
    </w:pPr>
    <w:rPr>
      <w:rFonts w:ascii="宋体" w:hAnsi="宋体" w:cs="宋体"/>
      <w:kern w:val="0"/>
      <w:sz w:val="20"/>
    </w:rPr>
  </w:style>
  <w:style w:type="paragraph" w:customStyle="1" w:styleId="31">
    <w:name w:val="font19"/>
    <w:basedOn w:val="1"/>
    <w:qFormat/>
    <w:uiPriority w:val="0"/>
    <w:pPr>
      <w:widowControl/>
      <w:topLinePunct w:val="0"/>
      <w:adjustRightInd/>
      <w:spacing w:before="100" w:beforeAutospacing="1" w:after="100" w:afterAutospacing="1"/>
      <w:ind w:firstLine="0"/>
      <w:jc w:val="left"/>
    </w:pPr>
    <w:rPr>
      <w:rFonts w:ascii="宋体" w:hAnsi="宋体" w:cs="宋体"/>
      <w:kern w:val="0"/>
      <w:sz w:val="18"/>
      <w:szCs w:val="18"/>
    </w:rPr>
  </w:style>
  <w:style w:type="paragraph" w:customStyle="1" w:styleId="32">
    <w:name w:val="xl63"/>
    <w:basedOn w:val="1"/>
    <w:qFormat/>
    <w:uiPriority w:val="0"/>
    <w:pPr>
      <w:widowControl/>
      <w:topLinePunct w:val="0"/>
      <w:adjustRightInd/>
      <w:spacing w:before="100" w:beforeAutospacing="1" w:after="100" w:afterAutospacing="1"/>
      <w:ind w:firstLine="0"/>
      <w:jc w:val="center"/>
    </w:pPr>
    <w:rPr>
      <w:kern w:val="0"/>
      <w:sz w:val="24"/>
      <w:szCs w:val="24"/>
    </w:rPr>
  </w:style>
  <w:style w:type="paragraph" w:customStyle="1" w:styleId="33">
    <w:name w:val="xl64"/>
    <w:basedOn w:val="1"/>
    <w:qFormat/>
    <w:uiPriority w:val="0"/>
    <w:pPr>
      <w:widowControl/>
      <w:topLinePunct w:val="0"/>
      <w:adjustRightInd/>
      <w:spacing w:before="100" w:beforeAutospacing="1" w:after="100" w:afterAutospacing="1"/>
      <w:ind w:firstLine="0"/>
      <w:jc w:val="left"/>
    </w:pPr>
    <w:rPr>
      <w:kern w:val="0"/>
      <w:sz w:val="24"/>
      <w:szCs w:val="24"/>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b/>
      <w:bCs/>
      <w:kern w:val="0"/>
      <w:sz w:val="20"/>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b/>
      <w:bCs/>
      <w:kern w:val="0"/>
      <w:sz w:val="20"/>
    </w:rPr>
  </w:style>
  <w:style w:type="paragraph" w:customStyle="1" w:styleId="36">
    <w:name w:val="xl67"/>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color w:val="000000"/>
      <w:kern w:val="0"/>
      <w:sz w:val="20"/>
    </w:rPr>
  </w:style>
  <w:style w:type="paragraph" w:customStyle="1" w:styleId="37">
    <w:name w:val="xl68"/>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textAlignment w:val="center"/>
    </w:pPr>
    <w:rPr>
      <w:color w:val="000000"/>
      <w:kern w:val="0"/>
      <w:sz w:val="20"/>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color w:val="FF0000"/>
      <w:kern w:val="0"/>
      <w:sz w:val="20"/>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kern w:val="0"/>
      <w:sz w:val="20"/>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43">
    <w:name w:val="xl74"/>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4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kern w:val="0"/>
      <w:sz w:val="20"/>
    </w:rPr>
  </w:style>
  <w:style w:type="paragraph" w:customStyle="1" w:styleId="4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kern w:val="0"/>
      <w:sz w:val="20"/>
    </w:rPr>
  </w:style>
  <w:style w:type="paragraph" w:customStyle="1" w:styleId="48">
    <w:name w:val="xl79"/>
    <w:basedOn w:val="1"/>
    <w:qFormat/>
    <w:uiPriority w:val="0"/>
    <w:pPr>
      <w:widowControl/>
      <w:pBdr>
        <w:left w:val="single" w:color="auto" w:sz="4" w:space="0"/>
        <w:bottom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kern w:val="0"/>
      <w:sz w:val="20"/>
    </w:rPr>
  </w:style>
  <w:style w:type="paragraph" w:customStyle="1" w:styleId="49">
    <w:name w:val="xl80"/>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b/>
      <w:bCs/>
      <w:kern w:val="0"/>
      <w:sz w:val="20"/>
    </w:rPr>
  </w:style>
  <w:style w:type="paragraph" w:customStyle="1" w:styleId="50">
    <w:name w:val="xl81"/>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kern w:val="0"/>
      <w:sz w:val="20"/>
    </w:rPr>
  </w:style>
  <w:style w:type="paragraph" w:customStyle="1" w:styleId="51">
    <w:name w:val="xl82"/>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kern w:val="0"/>
      <w:sz w:val="20"/>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kern w:val="0"/>
      <w:sz w:val="20"/>
    </w:rPr>
  </w:style>
  <w:style w:type="paragraph" w:customStyle="1" w:styleId="53">
    <w:name w:val="xl84"/>
    <w:basedOn w:val="1"/>
    <w:qFormat/>
    <w:uiPriority w:val="0"/>
    <w:pPr>
      <w:widowControl/>
      <w:pBdr>
        <w:top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54">
    <w:name w:val="xl85"/>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kern w:val="0"/>
      <w:sz w:val="18"/>
      <w:szCs w:val="18"/>
    </w:rPr>
  </w:style>
  <w:style w:type="paragraph" w:customStyle="1" w:styleId="55">
    <w:name w:val="xl86"/>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56">
    <w:name w:val="xl87"/>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kern w:val="0"/>
      <w:sz w:val="18"/>
      <w:szCs w:val="18"/>
    </w:rPr>
  </w:style>
  <w:style w:type="paragraph" w:customStyle="1" w:styleId="5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kern w:val="0"/>
      <w:sz w:val="20"/>
    </w:rPr>
  </w:style>
  <w:style w:type="paragraph" w:customStyle="1" w:styleId="5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textAlignment w:val="center"/>
    </w:pPr>
    <w:rPr>
      <w:kern w:val="0"/>
      <w:sz w:val="20"/>
    </w:rPr>
  </w:style>
  <w:style w:type="paragraph" w:customStyle="1" w:styleId="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60">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6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62">
    <w:name w:val="xl93"/>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kern w:val="0"/>
      <w:sz w:val="20"/>
    </w:rPr>
  </w:style>
  <w:style w:type="paragraph" w:customStyle="1" w:styleId="63">
    <w:name w:val="xl94"/>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64">
    <w:name w:val="xl95"/>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65">
    <w:name w:val="xl96"/>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66">
    <w:name w:val="xl97"/>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67">
    <w:name w:val="xl98"/>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68">
    <w:name w:val="xl99"/>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6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7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7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kern w:val="0"/>
      <w:sz w:val="20"/>
    </w:rPr>
  </w:style>
  <w:style w:type="paragraph" w:customStyle="1" w:styleId="72">
    <w:name w:val="xl103"/>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rFonts w:ascii="宋体" w:hAnsi="宋体" w:cs="宋体"/>
      <w:kern w:val="0"/>
      <w:sz w:val="20"/>
    </w:rPr>
  </w:style>
  <w:style w:type="paragraph" w:customStyle="1" w:styleId="73">
    <w:name w:val="xl104"/>
    <w:basedOn w:val="1"/>
    <w:qFormat/>
    <w:uiPriority w:val="0"/>
    <w:pPr>
      <w:widowControl/>
      <w:pBdr>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7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75">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opLinePunct w:val="0"/>
      <w:adjustRightInd/>
      <w:spacing w:before="100" w:beforeAutospacing="1" w:after="100" w:afterAutospacing="1"/>
      <w:ind w:firstLine="0"/>
      <w:jc w:val="center"/>
      <w:textAlignment w:val="center"/>
    </w:pPr>
    <w:rPr>
      <w:kern w:val="0"/>
      <w:sz w:val="20"/>
    </w:rPr>
  </w:style>
  <w:style w:type="paragraph" w:customStyle="1" w:styleId="76">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opLinePunct w:val="0"/>
      <w:adjustRightInd/>
      <w:spacing w:before="100" w:beforeAutospacing="1" w:after="100" w:afterAutospacing="1"/>
      <w:ind w:firstLine="0"/>
      <w:jc w:val="center"/>
      <w:textAlignment w:val="center"/>
    </w:pPr>
    <w:rPr>
      <w:kern w:val="0"/>
      <w:sz w:val="20"/>
    </w:rPr>
  </w:style>
  <w:style w:type="paragraph" w:customStyle="1" w:styleId="77">
    <w:name w:val="xl108"/>
    <w:basedOn w:val="1"/>
    <w:qFormat/>
    <w:uiPriority w:val="0"/>
    <w:pPr>
      <w:widowControl/>
      <w:pBdr>
        <w:left w:val="single" w:color="auto" w:sz="4" w:space="0"/>
        <w:bottom w:val="single" w:color="auto" w:sz="4" w:space="0"/>
        <w:right w:val="single" w:color="auto" w:sz="4" w:space="0"/>
      </w:pBdr>
      <w:shd w:val="clear" w:color="000000" w:fill="FFFFFF"/>
      <w:topLinePunct w:val="0"/>
      <w:adjustRightInd/>
      <w:spacing w:before="100" w:beforeAutospacing="1" w:after="100" w:afterAutospacing="1"/>
      <w:ind w:firstLine="0"/>
      <w:jc w:val="center"/>
      <w:textAlignment w:val="center"/>
    </w:pPr>
    <w:rPr>
      <w:kern w:val="0"/>
      <w:sz w:val="20"/>
    </w:rPr>
  </w:style>
  <w:style w:type="paragraph" w:customStyle="1" w:styleId="78">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opLinePunct w:val="0"/>
      <w:adjustRightInd/>
      <w:spacing w:before="100" w:beforeAutospacing="1" w:after="100" w:afterAutospacing="1"/>
      <w:ind w:firstLine="0"/>
      <w:jc w:val="center"/>
      <w:textAlignment w:val="center"/>
    </w:pPr>
    <w:rPr>
      <w:kern w:val="0"/>
      <w:sz w:val="20"/>
    </w:rPr>
  </w:style>
  <w:style w:type="paragraph" w:customStyle="1" w:styleId="79">
    <w:name w:val="xl110"/>
    <w:basedOn w:val="1"/>
    <w:qFormat/>
    <w:uiPriority w:val="0"/>
    <w:pPr>
      <w:widowControl/>
      <w:pBdr>
        <w:left w:val="single" w:color="auto" w:sz="4" w:space="0"/>
        <w:bottom w:val="single" w:color="auto" w:sz="4" w:space="0"/>
        <w:right w:val="single" w:color="auto" w:sz="4" w:space="0"/>
      </w:pBdr>
      <w:shd w:val="clear" w:color="000000" w:fill="FFFFFF"/>
      <w:topLinePunct w:val="0"/>
      <w:adjustRightInd/>
      <w:spacing w:before="100" w:beforeAutospacing="1" w:after="100" w:afterAutospacing="1"/>
      <w:ind w:firstLine="0"/>
      <w:jc w:val="center"/>
      <w:textAlignment w:val="center"/>
    </w:pPr>
    <w:rPr>
      <w:kern w:val="0"/>
      <w:sz w:val="20"/>
    </w:rPr>
  </w:style>
  <w:style w:type="paragraph" w:customStyle="1" w:styleId="80">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opLinePunct w:val="0"/>
      <w:adjustRightInd/>
      <w:spacing w:before="100" w:beforeAutospacing="1" w:after="100" w:afterAutospacing="1"/>
      <w:ind w:firstLine="0"/>
      <w:jc w:val="left"/>
      <w:textAlignment w:val="center"/>
    </w:pPr>
    <w:rPr>
      <w:kern w:val="0"/>
      <w:sz w:val="18"/>
      <w:szCs w:val="18"/>
    </w:rPr>
  </w:style>
  <w:style w:type="paragraph" w:customStyle="1" w:styleId="81">
    <w:name w:val="xl112"/>
    <w:basedOn w:val="1"/>
    <w:qFormat/>
    <w:uiPriority w:val="0"/>
    <w:pPr>
      <w:widowControl/>
      <w:shd w:val="clear" w:color="000000" w:fill="FFFFFF"/>
      <w:topLinePunct w:val="0"/>
      <w:adjustRightInd/>
      <w:spacing w:before="100" w:beforeAutospacing="1" w:after="100" w:afterAutospacing="1"/>
      <w:ind w:firstLine="0"/>
      <w:jc w:val="left"/>
    </w:pPr>
    <w:rPr>
      <w:rFonts w:ascii="宋体" w:hAnsi="宋体" w:cs="宋体"/>
      <w:kern w:val="0"/>
      <w:sz w:val="24"/>
      <w:szCs w:val="24"/>
    </w:rPr>
  </w:style>
  <w:style w:type="paragraph" w:customStyle="1" w:styleId="82">
    <w:name w:val="xl113"/>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83">
    <w:name w:val="xl114"/>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84">
    <w:name w:val="xl115"/>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85">
    <w:name w:val="xl116"/>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86">
    <w:name w:val="xl117"/>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87">
    <w:name w:val="xl118"/>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88">
    <w:name w:val="xl119"/>
    <w:basedOn w:val="1"/>
    <w:qFormat/>
    <w:uiPriority w:val="0"/>
    <w:pPr>
      <w:widowControl/>
      <w:pBdr>
        <w:top w:val="single" w:color="auto" w:sz="4" w:space="0"/>
        <w:left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89">
    <w:name w:val="xl120"/>
    <w:basedOn w:val="1"/>
    <w:qFormat/>
    <w:uiPriority w:val="0"/>
    <w:pPr>
      <w:widowControl/>
      <w:pBdr>
        <w:left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90">
    <w:name w:val="xl121"/>
    <w:basedOn w:val="1"/>
    <w:qFormat/>
    <w:uiPriority w:val="0"/>
    <w:pPr>
      <w:widowControl/>
      <w:pBdr>
        <w:left w:val="single" w:color="auto" w:sz="4" w:space="0"/>
        <w:bottom w:val="single" w:color="auto" w:sz="4" w:space="0"/>
        <w:right w:val="single" w:color="auto" w:sz="4" w:space="0"/>
      </w:pBdr>
      <w:shd w:val="clear" w:color="000000" w:fill="92D050"/>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91">
    <w:name w:val="xl122"/>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textAlignment w:val="center"/>
    </w:pPr>
    <w:rPr>
      <w:kern w:val="0"/>
      <w:sz w:val="20"/>
    </w:rPr>
  </w:style>
  <w:style w:type="paragraph" w:customStyle="1" w:styleId="92">
    <w:name w:val="xl123"/>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93">
    <w:name w:val="xl124"/>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left"/>
      <w:textAlignment w:val="center"/>
    </w:pPr>
    <w:rPr>
      <w:kern w:val="0"/>
      <w:sz w:val="20"/>
    </w:rPr>
  </w:style>
  <w:style w:type="paragraph" w:customStyle="1" w:styleId="94">
    <w:name w:val="xl125"/>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left"/>
      <w:textAlignment w:val="center"/>
    </w:pPr>
    <w:rPr>
      <w:kern w:val="0"/>
      <w:sz w:val="20"/>
    </w:rPr>
  </w:style>
  <w:style w:type="paragraph" w:customStyle="1" w:styleId="95">
    <w:name w:val="xl126"/>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center"/>
    </w:pPr>
    <w:rPr>
      <w:kern w:val="0"/>
      <w:sz w:val="20"/>
    </w:rPr>
  </w:style>
  <w:style w:type="paragraph" w:customStyle="1" w:styleId="96">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97">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98">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color w:val="000000"/>
      <w:kern w:val="0"/>
      <w:sz w:val="20"/>
    </w:rPr>
  </w:style>
  <w:style w:type="paragraph" w:customStyle="1" w:styleId="99">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left"/>
      <w:textAlignment w:val="center"/>
    </w:pPr>
    <w:rPr>
      <w:kern w:val="0"/>
      <w:sz w:val="20"/>
    </w:rPr>
  </w:style>
  <w:style w:type="paragraph" w:customStyle="1" w:styleId="100">
    <w:name w:val="xl131"/>
    <w:basedOn w:val="1"/>
    <w:qFormat/>
    <w:uiPriority w:val="0"/>
    <w:pPr>
      <w:widowControl/>
      <w:pBdr>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01">
    <w:name w:val="xl132"/>
    <w:basedOn w:val="1"/>
    <w:qFormat/>
    <w:uiPriority w:val="0"/>
    <w:pPr>
      <w:widowControl/>
      <w:pBdr>
        <w:left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0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left"/>
      <w:textAlignment w:val="center"/>
    </w:pPr>
    <w:rPr>
      <w:kern w:val="0"/>
      <w:sz w:val="20"/>
    </w:rPr>
  </w:style>
  <w:style w:type="paragraph" w:customStyle="1" w:styleId="103">
    <w:name w:val="xl134"/>
    <w:basedOn w:val="1"/>
    <w:qFormat/>
    <w:uiPriority w:val="0"/>
    <w:pPr>
      <w:widowControl/>
      <w:shd w:val="clear" w:color="000000" w:fill="D9D9D9"/>
      <w:topLinePunct w:val="0"/>
      <w:adjustRightInd/>
      <w:spacing w:before="100" w:beforeAutospacing="1" w:after="100" w:afterAutospacing="1"/>
      <w:ind w:firstLine="0"/>
      <w:jc w:val="left"/>
    </w:pPr>
    <w:rPr>
      <w:rFonts w:ascii="宋体" w:hAnsi="宋体" w:cs="宋体"/>
      <w:kern w:val="0"/>
      <w:sz w:val="24"/>
      <w:szCs w:val="24"/>
    </w:rPr>
  </w:style>
  <w:style w:type="paragraph" w:customStyle="1" w:styleId="104">
    <w:name w:val="xl135"/>
    <w:basedOn w:val="1"/>
    <w:qFormat/>
    <w:uiPriority w:val="0"/>
    <w:pPr>
      <w:widowControl/>
      <w:pBdr>
        <w:left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05">
    <w:name w:val="xl136"/>
    <w:basedOn w:val="1"/>
    <w:qFormat/>
    <w:uiPriority w:val="0"/>
    <w:pPr>
      <w:widowControl/>
      <w:pBdr>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106">
    <w:name w:val="xl137"/>
    <w:basedOn w:val="1"/>
    <w:qFormat/>
    <w:uiPriority w:val="0"/>
    <w:pPr>
      <w:widowControl/>
      <w:pBdr>
        <w:top w:val="single" w:color="auto" w:sz="4" w:space="0"/>
        <w:left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107">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08">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left"/>
      <w:textAlignment w:val="center"/>
    </w:pPr>
    <w:rPr>
      <w:kern w:val="0"/>
      <w:sz w:val="20"/>
    </w:rPr>
  </w:style>
  <w:style w:type="paragraph" w:customStyle="1" w:styleId="109">
    <w:name w:val="xl140"/>
    <w:basedOn w:val="1"/>
    <w:qFormat/>
    <w:uiPriority w:val="0"/>
    <w:pPr>
      <w:widowControl/>
      <w:pBdr>
        <w:left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110">
    <w:name w:val="xl141"/>
    <w:basedOn w:val="1"/>
    <w:qFormat/>
    <w:uiPriority w:val="0"/>
    <w:pPr>
      <w:widowControl/>
      <w:pBdr>
        <w:top w:val="single" w:color="auto" w:sz="4" w:space="0"/>
        <w:left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11">
    <w:name w:val="xl142"/>
    <w:basedOn w:val="1"/>
    <w:qFormat/>
    <w:uiPriority w:val="0"/>
    <w:pPr>
      <w:widowControl/>
      <w:pBdr>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12">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left"/>
      <w:textAlignment w:val="center"/>
    </w:pPr>
    <w:rPr>
      <w:kern w:val="0"/>
      <w:sz w:val="20"/>
    </w:rPr>
  </w:style>
  <w:style w:type="paragraph" w:customStyle="1" w:styleId="113">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left"/>
      <w:textAlignment w:val="center"/>
    </w:pPr>
    <w:rPr>
      <w:kern w:val="0"/>
      <w:sz w:val="20"/>
    </w:rPr>
  </w:style>
  <w:style w:type="paragraph" w:customStyle="1" w:styleId="114">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115">
    <w:name w:val="xl146"/>
    <w:basedOn w:val="1"/>
    <w:qFormat/>
    <w:uiPriority w:val="0"/>
    <w:pPr>
      <w:widowControl/>
      <w:pBdr>
        <w:top w:val="single" w:color="auto" w:sz="4" w:space="0"/>
        <w:left w:val="single" w:color="auto" w:sz="4" w:space="0"/>
        <w:bottom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116">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17">
    <w:name w:val="xl148"/>
    <w:basedOn w:val="1"/>
    <w:qFormat/>
    <w:uiPriority w:val="0"/>
    <w:pPr>
      <w:widowControl/>
      <w:pBdr>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18">
    <w:name w:val="xl149"/>
    <w:basedOn w:val="1"/>
    <w:qFormat/>
    <w:uiPriority w:val="0"/>
    <w:pPr>
      <w:widowControl/>
      <w:pBdr>
        <w:top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left"/>
      <w:textAlignment w:val="center"/>
    </w:pPr>
    <w:rPr>
      <w:kern w:val="0"/>
      <w:sz w:val="20"/>
    </w:rPr>
  </w:style>
  <w:style w:type="paragraph" w:customStyle="1" w:styleId="119">
    <w:name w:val="xl150"/>
    <w:basedOn w:val="1"/>
    <w:qFormat/>
    <w:uiPriority w:val="0"/>
    <w:pPr>
      <w:widowControl/>
      <w:pBdr>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120">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121">
    <w:name w:val="xl152"/>
    <w:basedOn w:val="1"/>
    <w:qFormat/>
    <w:uiPriority w:val="0"/>
    <w:pPr>
      <w:widowControl/>
      <w:pBdr>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22">
    <w:name w:val="xl153"/>
    <w:basedOn w:val="1"/>
    <w:qFormat/>
    <w:uiPriority w:val="0"/>
    <w:pPr>
      <w:widowControl/>
      <w:pBdr>
        <w:top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23">
    <w:name w:val="xl154"/>
    <w:basedOn w:val="1"/>
    <w:qFormat/>
    <w:uiPriority w:val="0"/>
    <w:pPr>
      <w:widowControl/>
      <w:pBdr>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24">
    <w:name w:val="xl155"/>
    <w:basedOn w:val="1"/>
    <w:qFormat/>
    <w:uiPriority w:val="0"/>
    <w:pPr>
      <w:widowControl/>
      <w:pBdr>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kern w:val="0"/>
      <w:sz w:val="20"/>
    </w:rPr>
  </w:style>
  <w:style w:type="paragraph" w:customStyle="1" w:styleId="125">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20"/>
    </w:rPr>
  </w:style>
  <w:style w:type="paragraph" w:customStyle="1" w:styleId="12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left"/>
      <w:textAlignment w:val="center"/>
    </w:pPr>
    <w:rPr>
      <w:kern w:val="0"/>
      <w:sz w:val="18"/>
      <w:szCs w:val="18"/>
    </w:rPr>
  </w:style>
  <w:style w:type="paragraph" w:customStyle="1" w:styleId="127">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opLinePunct w:val="0"/>
      <w:adjustRightInd/>
      <w:spacing w:before="100" w:beforeAutospacing="1" w:after="100" w:afterAutospacing="1"/>
      <w:ind w:firstLine="0"/>
      <w:jc w:val="center"/>
      <w:textAlignment w:val="center"/>
    </w:pPr>
    <w:rPr>
      <w:rFonts w:ascii="宋体" w:hAnsi="宋体" w:cs="宋体"/>
      <w:kern w:val="0"/>
      <w:sz w:val="18"/>
      <w:szCs w:val="18"/>
    </w:rPr>
  </w:style>
  <w:style w:type="paragraph" w:customStyle="1" w:styleId="128">
    <w:name w:val="msonormal"/>
    <w:basedOn w:val="1"/>
    <w:qFormat/>
    <w:uiPriority w:val="0"/>
    <w:pPr>
      <w:widowControl/>
      <w:topLinePunct w:val="0"/>
      <w:adjustRightInd/>
      <w:spacing w:before="100" w:beforeAutospacing="1" w:after="100" w:afterAutospacing="1"/>
      <w:ind w:firstLine="0"/>
      <w:jc w:val="left"/>
    </w:pPr>
    <w:rPr>
      <w:rFonts w:ascii="宋体" w:hAnsi="宋体" w:cs="宋体"/>
      <w:kern w:val="0"/>
      <w:sz w:val="24"/>
      <w:szCs w:val="24"/>
    </w:rPr>
  </w:style>
  <w:style w:type="paragraph" w:customStyle="1" w:styleId="129">
    <w:name w:val="font20"/>
    <w:basedOn w:val="1"/>
    <w:qFormat/>
    <w:uiPriority w:val="0"/>
    <w:pPr>
      <w:widowControl/>
      <w:topLinePunct w:val="0"/>
      <w:adjustRightInd/>
      <w:spacing w:before="100" w:beforeAutospacing="1" w:after="100" w:afterAutospacing="1"/>
      <w:ind w:firstLine="0"/>
      <w:jc w:val="left"/>
    </w:pPr>
    <w:rPr>
      <w:rFonts w:ascii="宋体" w:hAnsi="宋体" w:cs="宋体"/>
      <w:color w:val="FF0000"/>
      <w:kern w:val="0"/>
      <w:sz w:val="32"/>
      <w:szCs w:val="32"/>
    </w:rPr>
  </w:style>
  <w:style w:type="paragraph" w:customStyle="1" w:styleId="130">
    <w:name w:val="font21"/>
    <w:basedOn w:val="1"/>
    <w:qFormat/>
    <w:uiPriority w:val="0"/>
    <w:pPr>
      <w:widowControl/>
      <w:topLinePunct w:val="0"/>
      <w:adjustRightInd/>
      <w:spacing w:before="100" w:beforeAutospacing="1" w:after="100" w:afterAutospacing="1"/>
      <w:ind w:firstLine="0"/>
      <w:jc w:val="left"/>
    </w:pPr>
    <w:rPr>
      <w:rFonts w:ascii="宋体" w:hAnsi="宋体" w:cs="宋体"/>
      <w:kern w:val="0"/>
      <w:sz w:val="32"/>
      <w:szCs w:val="32"/>
    </w:rPr>
  </w:style>
  <w:style w:type="paragraph" w:customStyle="1" w:styleId="131">
    <w:name w:val="font22"/>
    <w:basedOn w:val="1"/>
    <w:qFormat/>
    <w:uiPriority w:val="0"/>
    <w:pPr>
      <w:widowControl/>
      <w:topLinePunct w:val="0"/>
      <w:adjustRightInd/>
      <w:spacing w:before="100" w:beforeAutospacing="1" w:after="100" w:afterAutospacing="1"/>
      <w:ind w:firstLine="0"/>
      <w:jc w:val="left"/>
    </w:pPr>
    <w:rPr>
      <w:rFonts w:ascii="宋体" w:hAnsi="宋体" w:cs="宋体"/>
      <w:kern w:val="0"/>
      <w:sz w:val="32"/>
      <w:szCs w:val="32"/>
    </w:rPr>
  </w:style>
  <w:style w:type="paragraph" w:customStyle="1" w:styleId="132">
    <w:name w:val="font23"/>
    <w:basedOn w:val="1"/>
    <w:qFormat/>
    <w:uiPriority w:val="0"/>
    <w:pPr>
      <w:widowControl/>
      <w:topLinePunct w:val="0"/>
      <w:adjustRightInd/>
      <w:spacing w:before="100" w:beforeAutospacing="1" w:after="100" w:afterAutospacing="1"/>
      <w:ind w:firstLine="0"/>
      <w:jc w:val="left"/>
    </w:pPr>
    <w:rPr>
      <w:color w:val="000000"/>
      <w:kern w:val="0"/>
      <w:sz w:val="28"/>
      <w:szCs w:val="28"/>
    </w:rPr>
  </w:style>
  <w:style w:type="character" w:customStyle="1" w:styleId="133">
    <w:name w:val="正文文本缩进 字符1"/>
    <w:basedOn w:val="9"/>
    <w:qFormat/>
    <w:uiPriority w:val="0"/>
    <w:rPr>
      <w:rFonts w:ascii="Times New Roman" w:hAnsi="Times New Roman" w:eastAsia="宋体" w:cs="Times New Roman"/>
      <w:szCs w:val="20"/>
    </w:rPr>
  </w:style>
  <w:style w:type="character" w:customStyle="1" w:styleId="134">
    <w:name w:val="font91"/>
    <w:basedOn w:val="9"/>
    <w:qFormat/>
    <w:uiPriority w:val="0"/>
    <w:rPr>
      <w:rFonts w:hint="default" w:ascii="Times New Roman" w:hAnsi="Times New Roman" w:cs="Times New Roman"/>
      <w:b/>
      <w:bCs/>
      <w:color w:val="000000"/>
      <w:sz w:val="20"/>
      <w:szCs w:val="20"/>
      <w:u w:val="none"/>
    </w:rPr>
  </w:style>
  <w:style w:type="character" w:customStyle="1" w:styleId="135">
    <w:name w:val="font31"/>
    <w:basedOn w:val="9"/>
    <w:qFormat/>
    <w:uiPriority w:val="0"/>
    <w:rPr>
      <w:rFonts w:hint="default" w:ascii="Times New Roman" w:hAnsi="Times New Roman" w:cs="Times New Roman"/>
      <w:color w:val="000000"/>
      <w:sz w:val="20"/>
      <w:szCs w:val="20"/>
      <w:u w:val="none"/>
    </w:rPr>
  </w:style>
  <w:style w:type="character" w:customStyle="1" w:styleId="136">
    <w:name w:val="font61"/>
    <w:basedOn w:val="9"/>
    <w:qFormat/>
    <w:uiPriority w:val="0"/>
    <w:rPr>
      <w:rFonts w:hint="default" w:ascii="Times New Roman" w:hAnsi="Times New Roman" w:cs="Times New Roman"/>
      <w:color w:val="000000"/>
      <w:sz w:val="20"/>
      <w:szCs w:val="20"/>
      <w:u w:val="none"/>
    </w:rPr>
  </w:style>
  <w:style w:type="character" w:customStyle="1" w:styleId="137">
    <w:name w:val="font51"/>
    <w:basedOn w:val="9"/>
    <w:qFormat/>
    <w:uiPriority w:val="0"/>
    <w:rPr>
      <w:rFonts w:hint="eastAsia" w:ascii="宋体" w:hAnsi="宋体" w:eastAsia="宋体" w:cs="宋体"/>
      <w:color w:val="000000"/>
      <w:sz w:val="20"/>
      <w:szCs w:val="20"/>
      <w:u w:val="none"/>
    </w:rPr>
  </w:style>
  <w:style w:type="character" w:customStyle="1" w:styleId="138">
    <w:name w:val="批注文字 字符"/>
    <w:basedOn w:val="9"/>
    <w:link w:val="2"/>
    <w:semiHidden/>
    <w:qFormat/>
    <w:uiPriority w:val="99"/>
    <w:rPr>
      <w:kern w:val="2"/>
      <w:sz w:val="21"/>
    </w:rPr>
  </w:style>
  <w:style w:type="character" w:customStyle="1" w:styleId="139">
    <w:name w:val="批注主题 字符"/>
    <w:basedOn w:val="138"/>
    <w:link w:val="7"/>
    <w:semiHidden/>
    <w:qFormat/>
    <w:uiPriority w:val="99"/>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4307</Words>
  <Characters>5579</Characters>
  <Lines>52</Lines>
  <Paragraphs>14</Paragraphs>
  <TotalTime>10</TotalTime>
  <ScaleCrop>false</ScaleCrop>
  <LinksUpToDate>false</LinksUpToDate>
  <CharactersWithSpaces>5581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2023-05-30T08:00:00Z</dcterms:created>
  <dc:creator>cy</dc:creator>
  <cp:lastModifiedBy>lenovo</cp:lastModifiedBy>
  <cp:lastPrinted>2023-06-28T07:02:00Z</cp:lastPrinted>
  <dcterms:modified xsi:type="dcterms:W3CDTF">2023-09-12T08:30:19Z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1014FABEE6594C93A218A43B691F1159_13</vt:lpwstr>
  </property>
</Properties>
</file>